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C8BCC" w14:textId="14F872C8" w:rsidR="00B80EF4" w:rsidRDefault="00B80EF4" w:rsidP="00555612">
      <w:pPr>
        <w:pStyle w:val="Heading1"/>
        <w:spacing w:before="120" w:after="40"/>
        <w:ind w:left="180"/>
        <w:rPr>
          <w:sz w:val="22"/>
          <w:szCs w:val="22"/>
        </w:rPr>
      </w:pPr>
      <w:r w:rsidRPr="00673420">
        <w:rPr>
          <w:sz w:val="22"/>
          <w:szCs w:val="22"/>
        </w:rPr>
        <w:t xml:space="preserve">SUMMARY OF CHANGES: </w:t>
      </w:r>
    </w:p>
    <w:p w14:paraId="4981FC8B" w14:textId="65E4190B" w:rsidR="0048516F" w:rsidRPr="00555612" w:rsidRDefault="002513B9" w:rsidP="00555612">
      <w:pPr>
        <w:pStyle w:val="ListParagraph"/>
        <w:numPr>
          <w:ilvl w:val="0"/>
          <w:numId w:val="25"/>
        </w:numPr>
        <w:autoSpaceDE w:val="0"/>
        <w:autoSpaceDN w:val="0"/>
        <w:adjustRightInd w:val="0"/>
        <w:spacing w:before="20" w:after="20"/>
        <w:ind w:left="180" w:firstLine="0"/>
        <w:jc w:val="both"/>
        <w:rPr>
          <w:sz w:val="22"/>
          <w:szCs w:val="22"/>
        </w:rPr>
      </w:pPr>
      <w:r w:rsidRPr="00555612">
        <w:rPr>
          <w:sz w:val="22"/>
          <w:szCs w:val="22"/>
        </w:rPr>
        <w:t>Update Originator and Approver</w:t>
      </w:r>
    </w:p>
    <w:p w14:paraId="033A4D8C" w14:textId="40B83C8B" w:rsidR="002513B9" w:rsidRPr="00555612" w:rsidRDefault="002513B9" w:rsidP="00555612">
      <w:pPr>
        <w:pStyle w:val="ListParagraph"/>
        <w:numPr>
          <w:ilvl w:val="0"/>
          <w:numId w:val="25"/>
        </w:numPr>
        <w:autoSpaceDE w:val="0"/>
        <w:autoSpaceDN w:val="0"/>
        <w:adjustRightInd w:val="0"/>
        <w:spacing w:before="20" w:after="20"/>
        <w:ind w:left="180" w:firstLine="0"/>
        <w:jc w:val="both"/>
        <w:rPr>
          <w:sz w:val="22"/>
          <w:szCs w:val="22"/>
        </w:rPr>
      </w:pPr>
      <w:r w:rsidRPr="00555612">
        <w:rPr>
          <w:sz w:val="22"/>
          <w:szCs w:val="22"/>
        </w:rPr>
        <w:t xml:space="preserve">Rewrite including additional </w:t>
      </w:r>
      <w:r w:rsidR="0080051E" w:rsidRPr="00555612">
        <w:rPr>
          <w:sz w:val="22"/>
          <w:szCs w:val="22"/>
        </w:rPr>
        <w:t>detai</w:t>
      </w:r>
      <w:bookmarkStart w:id="0" w:name="_GoBack"/>
      <w:bookmarkEnd w:id="0"/>
      <w:r w:rsidR="0080051E" w:rsidRPr="00555612">
        <w:rPr>
          <w:sz w:val="22"/>
          <w:szCs w:val="22"/>
        </w:rPr>
        <w:t>l</w:t>
      </w:r>
      <w:r w:rsidR="00673420">
        <w:rPr>
          <w:sz w:val="22"/>
          <w:szCs w:val="22"/>
        </w:rPr>
        <w:t xml:space="preserve"> and industry best practices</w:t>
      </w:r>
    </w:p>
    <w:p w14:paraId="1AC23997" w14:textId="77777777" w:rsidR="00B80EF4" w:rsidRDefault="00B80EF4" w:rsidP="00555612">
      <w:pPr>
        <w:pStyle w:val="Heading1"/>
        <w:spacing w:before="240" w:after="240"/>
        <w:ind w:left="180"/>
        <w:rPr>
          <w:sz w:val="22"/>
        </w:rPr>
      </w:pPr>
      <w:r w:rsidRPr="00691EB8">
        <w:rPr>
          <w:sz w:val="22"/>
        </w:rPr>
        <w:t>Policy statement</w:t>
      </w:r>
    </w:p>
    <w:p w14:paraId="0138A1BF" w14:textId="77777777" w:rsidR="0080051E" w:rsidRPr="0080051E" w:rsidRDefault="0080051E" w:rsidP="00555612">
      <w:pPr>
        <w:widowControl w:val="0"/>
        <w:tabs>
          <w:tab w:val="left" w:pos="10260"/>
          <w:tab w:val="left" w:pos="10440"/>
        </w:tabs>
        <w:kinsoku w:val="0"/>
        <w:overflowPunct w:val="0"/>
        <w:autoSpaceDE w:val="0"/>
        <w:autoSpaceDN w:val="0"/>
        <w:adjustRightInd w:val="0"/>
        <w:spacing w:before="120"/>
        <w:ind w:left="180" w:right="321"/>
        <w:jc w:val="both"/>
        <w:rPr>
          <w:rFonts w:eastAsiaTheme="minorEastAsia" w:cs="Arial"/>
          <w:sz w:val="22"/>
          <w:szCs w:val="22"/>
        </w:rPr>
      </w:pPr>
      <w:r w:rsidRPr="0080051E">
        <w:rPr>
          <w:rFonts w:eastAsiaTheme="minorEastAsia" w:cs="Arial"/>
          <w:sz w:val="22"/>
          <w:szCs w:val="22"/>
        </w:rPr>
        <w:t>IAP, along with its subsidiaries and affiliates (collectively “the Company”), is committed to ethical business practices and to obeying both the spirit and the letter of the law in every country in which it does business. The Company strictly prohibits corruption, bribery or any other improper payments in business dealings.</w:t>
      </w:r>
    </w:p>
    <w:p w14:paraId="74A1C419" w14:textId="77777777" w:rsidR="0080051E" w:rsidRPr="0080051E" w:rsidRDefault="0080051E" w:rsidP="00555612">
      <w:pPr>
        <w:widowControl w:val="0"/>
        <w:tabs>
          <w:tab w:val="left" w:pos="10620"/>
        </w:tabs>
        <w:kinsoku w:val="0"/>
        <w:overflowPunct w:val="0"/>
        <w:autoSpaceDE w:val="0"/>
        <w:autoSpaceDN w:val="0"/>
        <w:adjustRightInd w:val="0"/>
        <w:spacing w:before="120"/>
        <w:ind w:left="180" w:right="360"/>
        <w:jc w:val="both"/>
        <w:rPr>
          <w:rFonts w:eastAsiaTheme="minorEastAsia" w:cs="Arial"/>
          <w:sz w:val="22"/>
          <w:szCs w:val="22"/>
        </w:rPr>
      </w:pPr>
      <w:r w:rsidRPr="0080051E">
        <w:rPr>
          <w:rFonts w:eastAsiaTheme="minorEastAsia" w:cs="Arial"/>
          <w:sz w:val="22"/>
          <w:szCs w:val="22"/>
        </w:rPr>
        <w:t xml:space="preserve">Under a variety of applicable anti-bribery laws, bribery is a criminal offense punishable by imprisonment and/or fines for both the Company and, separately, any person involved in the bribery. The Company takes its legal responsibilities to prevent bribery very seriously and expects its Employees and Third Parties to do the same. The fact that bribery may be a customary business practice </w:t>
      </w:r>
      <w:proofErr w:type="gramStart"/>
      <w:r w:rsidRPr="0080051E">
        <w:rPr>
          <w:rFonts w:eastAsiaTheme="minorEastAsia" w:cs="Arial"/>
          <w:sz w:val="22"/>
          <w:szCs w:val="22"/>
        </w:rPr>
        <w:t>in a given</w:t>
      </w:r>
      <w:proofErr w:type="gramEnd"/>
      <w:r w:rsidRPr="0080051E">
        <w:rPr>
          <w:rFonts w:eastAsiaTheme="minorEastAsia" w:cs="Arial"/>
          <w:sz w:val="22"/>
          <w:szCs w:val="22"/>
        </w:rPr>
        <w:t xml:space="preserve"> country is not a justification for violation of this policy.</w:t>
      </w:r>
    </w:p>
    <w:p w14:paraId="7CECD742" w14:textId="77777777" w:rsidR="0080051E" w:rsidRPr="0080051E" w:rsidRDefault="0080051E" w:rsidP="00555612">
      <w:pPr>
        <w:widowControl w:val="0"/>
        <w:kinsoku w:val="0"/>
        <w:overflowPunct w:val="0"/>
        <w:autoSpaceDE w:val="0"/>
        <w:autoSpaceDN w:val="0"/>
        <w:adjustRightInd w:val="0"/>
        <w:spacing w:before="120"/>
        <w:ind w:left="180" w:right="360"/>
        <w:jc w:val="both"/>
        <w:rPr>
          <w:rFonts w:eastAsiaTheme="minorEastAsia" w:cs="Arial"/>
          <w:sz w:val="22"/>
          <w:szCs w:val="22"/>
        </w:rPr>
      </w:pPr>
      <w:r w:rsidRPr="0080051E">
        <w:rPr>
          <w:rFonts w:eastAsiaTheme="minorEastAsia" w:cs="Arial"/>
          <w:sz w:val="22"/>
          <w:szCs w:val="22"/>
        </w:rPr>
        <w:t>The directors and executive management of the Company fully support this Anti-Corruption Policy and expect full compliance with its terms from every single employee, whether permanent, fixed-term, or temporary (collectively, “Employees”). The same expectation applies to employees of Third Parties acting on the Company’s behalf.</w:t>
      </w:r>
    </w:p>
    <w:p w14:paraId="32D24F1D" w14:textId="77777777" w:rsidR="0080051E" w:rsidRPr="0080051E" w:rsidRDefault="0080051E" w:rsidP="00555612">
      <w:pPr>
        <w:widowControl w:val="0"/>
        <w:kinsoku w:val="0"/>
        <w:overflowPunct w:val="0"/>
        <w:autoSpaceDE w:val="0"/>
        <w:autoSpaceDN w:val="0"/>
        <w:adjustRightInd w:val="0"/>
        <w:spacing w:before="6"/>
        <w:ind w:left="180"/>
        <w:jc w:val="both"/>
        <w:rPr>
          <w:rFonts w:eastAsiaTheme="minorEastAsia" w:cs="Arial"/>
          <w:sz w:val="19"/>
          <w:szCs w:val="19"/>
        </w:rPr>
      </w:pPr>
    </w:p>
    <w:p w14:paraId="4931D51D" w14:textId="77777777" w:rsidR="0080051E" w:rsidRPr="0080051E" w:rsidRDefault="0080051E" w:rsidP="00555612">
      <w:pPr>
        <w:widowControl w:val="0"/>
        <w:kinsoku w:val="0"/>
        <w:overflowPunct w:val="0"/>
        <w:autoSpaceDE w:val="0"/>
        <w:autoSpaceDN w:val="0"/>
        <w:adjustRightInd w:val="0"/>
        <w:ind w:left="180"/>
        <w:jc w:val="both"/>
        <w:outlineLvl w:val="0"/>
        <w:rPr>
          <w:rFonts w:eastAsiaTheme="minorEastAsia" w:cs="Arial"/>
          <w:b/>
          <w:bCs/>
          <w:sz w:val="22"/>
          <w:szCs w:val="22"/>
        </w:rPr>
      </w:pPr>
      <w:r w:rsidRPr="0080051E">
        <w:rPr>
          <w:rFonts w:eastAsiaTheme="minorEastAsia" w:cs="Arial"/>
          <w:b/>
          <w:bCs/>
          <w:sz w:val="22"/>
          <w:szCs w:val="22"/>
        </w:rPr>
        <w:t>DEFINITIONS</w:t>
      </w:r>
    </w:p>
    <w:p w14:paraId="17C9A19D" w14:textId="77777777" w:rsidR="0080051E" w:rsidRPr="0080051E" w:rsidRDefault="0080051E" w:rsidP="00555612">
      <w:pPr>
        <w:widowControl w:val="0"/>
        <w:kinsoku w:val="0"/>
        <w:overflowPunct w:val="0"/>
        <w:autoSpaceDE w:val="0"/>
        <w:autoSpaceDN w:val="0"/>
        <w:adjustRightInd w:val="0"/>
        <w:spacing w:before="120"/>
        <w:ind w:left="180" w:right="360"/>
        <w:jc w:val="both"/>
        <w:rPr>
          <w:rFonts w:eastAsiaTheme="minorEastAsia" w:cs="Arial"/>
          <w:sz w:val="22"/>
          <w:szCs w:val="22"/>
        </w:rPr>
      </w:pPr>
      <w:r w:rsidRPr="0080051E">
        <w:rPr>
          <w:rFonts w:eastAsiaTheme="minorEastAsia" w:cs="Arial"/>
          <w:sz w:val="22"/>
          <w:szCs w:val="22"/>
          <w:u w:val="single" w:color="000000"/>
        </w:rPr>
        <w:t>Bribery (or bribe)</w:t>
      </w:r>
      <w:r w:rsidRPr="0080051E">
        <w:rPr>
          <w:rFonts w:eastAsiaTheme="minorEastAsia" w:cs="Arial"/>
          <w:sz w:val="22"/>
          <w:szCs w:val="22"/>
        </w:rPr>
        <w:t>: Giving, offering, promising, requesting, or authorizing the giving of anything of value, directly or indirectly, to any person or entity to induce a person to act, or refrain from acting, in relation to the performance of their duties, in order to obtain or retain any advantage or benefit.</w:t>
      </w:r>
    </w:p>
    <w:p w14:paraId="2D49C2FA" w14:textId="77777777" w:rsidR="0080051E" w:rsidRPr="0080051E" w:rsidRDefault="0080051E" w:rsidP="00555612">
      <w:pPr>
        <w:widowControl w:val="0"/>
        <w:kinsoku w:val="0"/>
        <w:overflowPunct w:val="0"/>
        <w:autoSpaceDE w:val="0"/>
        <w:autoSpaceDN w:val="0"/>
        <w:adjustRightInd w:val="0"/>
        <w:spacing w:before="120"/>
        <w:ind w:left="180" w:right="360"/>
        <w:jc w:val="both"/>
        <w:rPr>
          <w:rFonts w:eastAsiaTheme="minorEastAsia" w:cs="Arial"/>
          <w:sz w:val="22"/>
          <w:szCs w:val="22"/>
        </w:rPr>
      </w:pPr>
      <w:r w:rsidRPr="0080051E">
        <w:rPr>
          <w:rFonts w:eastAsiaTheme="minorEastAsia" w:cs="Arial"/>
          <w:sz w:val="22"/>
          <w:szCs w:val="22"/>
          <w:u w:val="single" w:color="000000"/>
        </w:rPr>
        <w:t>Anything of value</w:t>
      </w:r>
      <w:r w:rsidRPr="0080051E">
        <w:rPr>
          <w:rFonts w:eastAsiaTheme="minorEastAsia" w:cs="Arial"/>
          <w:sz w:val="22"/>
          <w:szCs w:val="22"/>
        </w:rPr>
        <w:t xml:space="preserve">: Includes, but is not limited </w:t>
      </w:r>
      <w:proofErr w:type="gramStart"/>
      <w:r w:rsidRPr="0080051E">
        <w:rPr>
          <w:rFonts w:eastAsiaTheme="minorEastAsia" w:cs="Arial"/>
          <w:sz w:val="22"/>
          <w:szCs w:val="22"/>
        </w:rPr>
        <w:t>to:</w:t>
      </w:r>
      <w:proofErr w:type="gramEnd"/>
      <w:r w:rsidRPr="0080051E">
        <w:rPr>
          <w:rFonts w:eastAsiaTheme="minorEastAsia" w:cs="Arial"/>
          <w:sz w:val="22"/>
          <w:szCs w:val="22"/>
        </w:rPr>
        <w:t xml:space="preserve"> cash, cash equivalents (such as gift cards, kickbacks or discounts), benefits or favors, entertainment, gifts, hospitality, meals, travel, charitable contributions, political contributions or employment opportunities. There is no minimum value for something to be considered “of value.”</w:t>
      </w:r>
    </w:p>
    <w:p w14:paraId="01C9BA7B" w14:textId="77777777" w:rsidR="0080051E" w:rsidRPr="0080051E" w:rsidRDefault="0080051E" w:rsidP="00555612">
      <w:pPr>
        <w:widowControl w:val="0"/>
        <w:kinsoku w:val="0"/>
        <w:overflowPunct w:val="0"/>
        <w:autoSpaceDE w:val="0"/>
        <w:autoSpaceDN w:val="0"/>
        <w:adjustRightInd w:val="0"/>
        <w:spacing w:before="120"/>
        <w:ind w:left="180" w:right="360"/>
        <w:jc w:val="both"/>
        <w:rPr>
          <w:rFonts w:eastAsiaTheme="minorEastAsia" w:cs="Arial"/>
          <w:sz w:val="22"/>
          <w:szCs w:val="22"/>
        </w:rPr>
      </w:pPr>
      <w:r w:rsidRPr="0080051E">
        <w:rPr>
          <w:rFonts w:eastAsiaTheme="minorEastAsia" w:cs="Arial"/>
          <w:sz w:val="22"/>
          <w:szCs w:val="22"/>
          <w:u w:val="single" w:color="000000"/>
        </w:rPr>
        <w:t>Facilitating payments</w:t>
      </w:r>
      <w:r w:rsidRPr="0080051E">
        <w:rPr>
          <w:rFonts w:eastAsiaTheme="minorEastAsia" w:cs="Arial"/>
          <w:sz w:val="22"/>
          <w:szCs w:val="22"/>
        </w:rPr>
        <w:t>: Payments made to public officials to encourage them to expedite a routine or common governmental task that the official is otherwise required to undertake even if the payment were not made, such as issuing permits or licenses.</w:t>
      </w:r>
    </w:p>
    <w:p w14:paraId="3303A300" w14:textId="77777777" w:rsidR="0080051E" w:rsidRPr="0080051E" w:rsidRDefault="0080051E" w:rsidP="00555612">
      <w:pPr>
        <w:widowControl w:val="0"/>
        <w:kinsoku w:val="0"/>
        <w:overflowPunct w:val="0"/>
        <w:autoSpaceDE w:val="0"/>
        <w:autoSpaceDN w:val="0"/>
        <w:adjustRightInd w:val="0"/>
        <w:spacing w:before="120"/>
        <w:ind w:left="180" w:right="360"/>
        <w:jc w:val="both"/>
        <w:rPr>
          <w:rFonts w:eastAsiaTheme="minorEastAsia" w:cs="Arial"/>
          <w:sz w:val="22"/>
          <w:szCs w:val="22"/>
        </w:rPr>
      </w:pPr>
      <w:r w:rsidRPr="0080051E">
        <w:rPr>
          <w:rFonts w:eastAsiaTheme="minorEastAsia" w:cs="Arial"/>
          <w:sz w:val="22"/>
          <w:szCs w:val="22"/>
          <w:u w:val="single" w:color="000000"/>
        </w:rPr>
        <w:t>Gift</w:t>
      </w:r>
      <w:r w:rsidRPr="0080051E">
        <w:rPr>
          <w:rFonts w:eastAsiaTheme="minorEastAsia" w:cs="Arial"/>
          <w:sz w:val="22"/>
          <w:szCs w:val="22"/>
        </w:rPr>
        <w:t>: Includes any tangible object of any kind, regardless of value.</w:t>
      </w:r>
    </w:p>
    <w:p w14:paraId="2D911830" w14:textId="77777777" w:rsidR="0080051E" w:rsidRPr="0080051E" w:rsidRDefault="0080051E" w:rsidP="00555612">
      <w:pPr>
        <w:widowControl w:val="0"/>
        <w:kinsoku w:val="0"/>
        <w:overflowPunct w:val="0"/>
        <w:autoSpaceDE w:val="0"/>
        <w:autoSpaceDN w:val="0"/>
        <w:adjustRightInd w:val="0"/>
        <w:spacing w:before="120"/>
        <w:ind w:left="180" w:right="360"/>
        <w:jc w:val="both"/>
        <w:rPr>
          <w:rFonts w:eastAsiaTheme="minorEastAsia" w:cs="Arial"/>
          <w:sz w:val="22"/>
          <w:szCs w:val="22"/>
        </w:rPr>
      </w:pPr>
      <w:r w:rsidRPr="0080051E">
        <w:rPr>
          <w:rFonts w:eastAsiaTheme="minorEastAsia" w:cs="Arial"/>
          <w:sz w:val="22"/>
          <w:szCs w:val="22"/>
          <w:u w:val="single" w:color="000000"/>
        </w:rPr>
        <w:t>Public official</w:t>
      </w:r>
      <w:r w:rsidRPr="0080051E">
        <w:rPr>
          <w:rFonts w:eastAsiaTheme="minorEastAsia" w:cs="Arial"/>
          <w:sz w:val="22"/>
          <w:szCs w:val="22"/>
        </w:rPr>
        <w:t>: A government official, whether elected or appointed; an officer or employee of a government agency or state-owned or state-controlled entity; a person performing a public service on behalf of a government or government agency; a political party or party official; a candidate for political office; any person acting in an official capacity; or an officer or employee of a public international organization.</w:t>
      </w:r>
    </w:p>
    <w:p w14:paraId="3259A41C" w14:textId="77777777" w:rsidR="0080051E" w:rsidRPr="0080051E" w:rsidRDefault="0080051E" w:rsidP="00555612">
      <w:pPr>
        <w:widowControl w:val="0"/>
        <w:kinsoku w:val="0"/>
        <w:overflowPunct w:val="0"/>
        <w:autoSpaceDE w:val="0"/>
        <w:autoSpaceDN w:val="0"/>
        <w:adjustRightInd w:val="0"/>
        <w:spacing w:before="120"/>
        <w:ind w:left="180" w:right="360"/>
        <w:jc w:val="both"/>
        <w:rPr>
          <w:rFonts w:eastAsiaTheme="minorEastAsia" w:cs="Arial"/>
          <w:sz w:val="22"/>
          <w:szCs w:val="22"/>
        </w:rPr>
      </w:pPr>
      <w:r w:rsidRPr="0080051E">
        <w:rPr>
          <w:rFonts w:eastAsiaTheme="minorEastAsia" w:cs="Arial"/>
          <w:sz w:val="22"/>
          <w:szCs w:val="22"/>
          <w:u w:val="single" w:color="000000"/>
        </w:rPr>
        <w:t>Hospitality</w:t>
      </w:r>
      <w:r w:rsidRPr="0080051E">
        <w:rPr>
          <w:rFonts w:eastAsiaTheme="minorEastAsia" w:cs="Arial"/>
          <w:sz w:val="22"/>
          <w:szCs w:val="22"/>
        </w:rPr>
        <w:t>: Meals, lodging, or any event or form of entertainment (including sporting events, parties, plays and receptions).</w:t>
      </w:r>
    </w:p>
    <w:p w14:paraId="33F98244" w14:textId="77777777" w:rsidR="0080051E" w:rsidRPr="0080051E" w:rsidRDefault="0080051E" w:rsidP="00555612">
      <w:pPr>
        <w:widowControl w:val="0"/>
        <w:kinsoku w:val="0"/>
        <w:overflowPunct w:val="0"/>
        <w:autoSpaceDE w:val="0"/>
        <w:autoSpaceDN w:val="0"/>
        <w:adjustRightInd w:val="0"/>
        <w:spacing w:before="118"/>
        <w:ind w:left="180" w:right="360"/>
        <w:jc w:val="both"/>
        <w:rPr>
          <w:rFonts w:eastAsiaTheme="minorEastAsia" w:cs="Arial"/>
          <w:sz w:val="22"/>
          <w:szCs w:val="22"/>
        </w:rPr>
      </w:pPr>
      <w:r w:rsidRPr="0080051E">
        <w:rPr>
          <w:rFonts w:eastAsiaTheme="minorEastAsia" w:cs="Arial"/>
          <w:sz w:val="22"/>
          <w:szCs w:val="22"/>
          <w:u w:val="single" w:color="000000"/>
        </w:rPr>
        <w:t>Third party</w:t>
      </w:r>
      <w:r w:rsidRPr="0080051E">
        <w:rPr>
          <w:rFonts w:eastAsiaTheme="minorEastAsia" w:cs="Arial"/>
          <w:sz w:val="22"/>
          <w:szCs w:val="22"/>
        </w:rPr>
        <w:t>: Any person or entity who acts on behalf of or represents the Company, including but not limited to sales agents or representatives, distributors, consultants, lobbyists, transportation or logistics providers, customs clearing agents, or any person or entity retained to represent the Company</w:t>
      </w:r>
      <w:r w:rsidRPr="0080051E">
        <w:rPr>
          <w:rFonts w:eastAsiaTheme="minorEastAsia" w:cs="Arial"/>
          <w:b/>
          <w:bCs/>
          <w:sz w:val="22"/>
          <w:szCs w:val="22"/>
        </w:rPr>
        <w:t xml:space="preserve"> </w:t>
      </w:r>
      <w:r w:rsidRPr="0080051E">
        <w:rPr>
          <w:rFonts w:eastAsiaTheme="minorEastAsia" w:cs="Arial"/>
          <w:sz w:val="22"/>
          <w:szCs w:val="22"/>
        </w:rPr>
        <w:t>in a matter before a public official, government agency, or in tax or legal matters.</w:t>
      </w:r>
    </w:p>
    <w:p w14:paraId="0607381C" w14:textId="77777777" w:rsidR="0080051E" w:rsidRPr="0080051E" w:rsidRDefault="0080051E" w:rsidP="00555612">
      <w:pPr>
        <w:widowControl w:val="0"/>
        <w:kinsoku w:val="0"/>
        <w:overflowPunct w:val="0"/>
        <w:autoSpaceDE w:val="0"/>
        <w:autoSpaceDN w:val="0"/>
        <w:adjustRightInd w:val="0"/>
        <w:spacing w:before="118"/>
        <w:ind w:left="180" w:right="165"/>
        <w:jc w:val="both"/>
        <w:rPr>
          <w:rFonts w:eastAsiaTheme="minorEastAsia" w:cs="Arial"/>
          <w:sz w:val="22"/>
          <w:szCs w:val="22"/>
        </w:rPr>
      </w:pPr>
    </w:p>
    <w:p w14:paraId="5E002FA2" w14:textId="77777777" w:rsidR="0080051E" w:rsidRPr="0080051E" w:rsidRDefault="0080051E" w:rsidP="00555612">
      <w:pPr>
        <w:spacing w:after="200" w:line="276" w:lineRule="auto"/>
        <w:ind w:left="180"/>
        <w:jc w:val="both"/>
        <w:rPr>
          <w:rFonts w:eastAsiaTheme="minorHAnsi" w:cs="Arial"/>
          <w:sz w:val="22"/>
          <w:szCs w:val="22"/>
        </w:rPr>
      </w:pPr>
      <w:r w:rsidRPr="0080051E">
        <w:rPr>
          <w:rFonts w:eastAsiaTheme="minorHAnsi" w:cs="Arial"/>
          <w:sz w:val="22"/>
          <w:szCs w:val="22"/>
          <w:u w:val="single"/>
        </w:rPr>
        <w:t>Bribery and Facilitating Payments</w:t>
      </w:r>
      <w:r w:rsidRPr="0080051E">
        <w:rPr>
          <w:rFonts w:eastAsiaTheme="minorHAnsi" w:cs="Arial"/>
          <w:sz w:val="22"/>
          <w:szCs w:val="22"/>
        </w:rPr>
        <w:t>: The Company, its Employees and third parties are prohibited from offering or giving a bribe, whether directly or indirectly, to any person or entity. The Company, its Employees and third parties are prohibited from offering or giving a bribe, whether directly or indirectly, to any person or entity are prohibited from requesting or receiving a Bribe, directly or indirectly, from any person or entity. All demands for bribes or kickbacks must be expressly rejected.</w:t>
      </w:r>
    </w:p>
    <w:p w14:paraId="48305329" w14:textId="77777777" w:rsidR="0080051E" w:rsidRPr="0080051E" w:rsidRDefault="0080051E" w:rsidP="00555612">
      <w:pPr>
        <w:spacing w:after="200" w:line="276" w:lineRule="auto"/>
        <w:ind w:left="180"/>
        <w:jc w:val="both"/>
        <w:rPr>
          <w:rFonts w:eastAsiaTheme="minorHAnsi" w:cs="Arial"/>
          <w:sz w:val="22"/>
          <w:szCs w:val="22"/>
        </w:rPr>
      </w:pPr>
      <w:r w:rsidRPr="0080051E">
        <w:rPr>
          <w:rFonts w:eastAsiaTheme="minorHAnsi" w:cs="Arial"/>
          <w:sz w:val="22"/>
          <w:szCs w:val="22"/>
        </w:rPr>
        <w:t>The Company, its Employees and the Company’s third parties are prohibited from offering or making facilitating payments to public officials.</w:t>
      </w:r>
    </w:p>
    <w:p w14:paraId="00F328A9" w14:textId="19D45912" w:rsidR="0080051E" w:rsidRPr="0080051E" w:rsidRDefault="0080051E" w:rsidP="00555612">
      <w:pPr>
        <w:spacing w:after="200" w:line="276" w:lineRule="auto"/>
        <w:ind w:left="180"/>
        <w:jc w:val="both"/>
        <w:rPr>
          <w:rFonts w:eastAsiaTheme="minorHAnsi" w:cs="Arial"/>
          <w:sz w:val="22"/>
          <w:szCs w:val="22"/>
        </w:rPr>
      </w:pPr>
      <w:r w:rsidRPr="0080051E">
        <w:rPr>
          <w:rFonts w:eastAsiaTheme="minorHAnsi" w:cs="Arial"/>
          <w:sz w:val="22"/>
          <w:szCs w:val="22"/>
        </w:rPr>
        <w:t>If a Company</w:t>
      </w:r>
      <w:r w:rsidR="00555612">
        <w:rPr>
          <w:rFonts w:eastAsiaTheme="minorHAnsi" w:cs="Arial"/>
          <w:b/>
          <w:bCs/>
          <w:sz w:val="22"/>
          <w:szCs w:val="22"/>
        </w:rPr>
        <w:t xml:space="preserve"> </w:t>
      </w:r>
      <w:r w:rsidR="00555612" w:rsidRPr="00555612">
        <w:rPr>
          <w:rFonts w:eastAsiaTheme="minorHAnsi" w:cs="Arial"/>
          <w:sz w:val="22"/>
          <w:szCs w:val="22"/>
        </w:rPr>
        <w:t>employee</w:t>
      </w:r>
      <w:r w:rsidRPr="0080051E">
        <w:rPr>
          <w:rFonts w:eastAsiaTheme="minorHAnsi" w:cs="Arial"/>
          <w:sz w:val="22"/>
          <w:szCs w:val="22"/>
        </w:rPr>
        <w:t xml:space="preserve"> or third party believes there is a serious threat to a person’s health or safety if a payment demand is not met, such payment would not be considered a prohibited bribe. In that situation, the employee or third party should report the incident to the Ethics and Compliance department as soon as possible and the payment must be properly recorded in the Company’s books and records.</w:t>
      </w:r>
    </w:p>
    <w:p w14:paraId="0B6B89EE" w14:textId="634F9C73" w:rsidR="0080051E" w:rsidRPr="0080051E" w:rsidRDefault="0080051E" w:rsidP="00555612">
      <w:pPr>
        <w:spacing w:after="200" w:line="276" w:lineRule="auto"/>
        <w:ind w:left="180"/>
        <w:jc w:val="both"/>
        <w:rPr>
          <w:rFonts w:eastAsiaTheme="minorHAnsi" w:cs="Arial"/>
          <w:sz w:val="22"/>
          <w:szCs w:val="22"/>
        </w:rPr>
      </w:pPr>
      <w:r w:rsidRPr="0080051E">
        <w:rPr>
          <w:rFonts w:eastAsiaTheme="minorHAnsi" w:cs="Arial"/>
          <w:sz w:val="22"/>
          <w:szCs w:val="22"/>
        </w:rPr>
        <w:t xml:space="preserve">Employees and third parties who refuse to pay a bribe </w:t>
      </w:r>
      <w:r w:rsidR="00673420">
        <w:rPr>
          <w:rFonts w:eastAsiaTheme="minorHAnsi" w:cs="Arial"/>
          <w:sz w:val="22"/>
          <w:szCs w:val="22"/>
        </w:rPr>
        <w:t xml:space="preserve">or make a facilitating payment </w:t>
      </w:r>
      <w:r w:rsidRPr="0080051E">
        <w:rPr>
          <w:rFonts w:eastAsiaTheme="minorHAnsi" w:cs="Arial"/>
          <w:sz w:val="22"/>
          <w:szCs w:val="22"/>
        </w:rPr>
        <w:t>will not suffer any penalty, demotion or other adverse consequence as a result, even if the Company</w:t>
      </w:r>
      <w:r w:rsidRPr="0080051E">
        <w:rPr>
          <w:rFonts w:eastAsiaTheme="minorHAnsi" w:cs="Arial"/>
          <w:b/>
          <w:bCs/>
          <w:sz w:val="22"/>
          <w:szCs w:val="22"/>
        </w:rPr>
        <w:t xml:space="preserve"> </w:t>
      </w:r>
      <w:r w:rsidRPr="0080051E">
        <w:rPr>
          <w:rFonts w:eastAsiaTheme="minorHAnsi" w:cs="Arial"/>
          <w:sz w:val="22"/>
          <w:szCs w:val="22"/>
        </w:rPr>
        <w:t xml:space="preserve">loses business. Employees and third parties are required to report any suspected violations of this Anti-Corruption Policy to the Ethics and Compliance department by calling 877-296-8010 or reporting </w:t>
      </w:r>
      <w:r w:rsidR="00555612">
        <w:rPr>
          <w:rFonts w:eastAsiaTheme="minorHAnsi" w:cs="Arial"/>
          <w:sz w:val="22"/>
          <w:szCs w:val="22"/>
        </w:rPr>
        <w:t>online by accessing</w:t>
      </w:r>
      <w:r w:rsidRPr="0080051E">
        <w:rPr>
          <w:rFonts w:eastAsiaTheme="minorHAnsi" w:cs="Arial"/>
          <w:sz w:val="22"/>
          <w:szCs w:val="22"/>
        </w:rPr>
        <w:t xml:space="preserve"> </w:t>
      </w:r>
      <w:hyperlink r:id="rId8" w:history="1">
        <w:r w:rsidRPr="0080051E">
          <w:rPr>
            <w:rFonts w:eastAsiaTheme="minorHAnsi" w:cs="Arial"/>
            <w:color w:val="0000FF" w:themeColor="hyperlink"/>
            <w:sz w:val="22"/>
            <w:szCs w:val="22"/>
            <w:u w:val="single"/>
          </w:rPr>
          <w:t>www.iapws.ethicspoint.com</w:t>
        </w:r>
      </w:hyperlink>
      <w:r w:rsidRPr="0080051E">
        <w:rPr>
          <w:rFonts w:eastAsiaTheme="minorHAnsi" w:cs="Arial"/>
          <w:sz w:val="22"/>
          <w:szCs w:val="22"/>
        </w:rPr>
        <w:t>, and no employee or third party will suffer any penalty, demotion or other adverse consequence for reports made in good faith. Reports will be treated confidentially to the extent possible, consistent with the need to conduct a thorough investigation.</w:t>
      </w:r>
    </w:p>
    <w:p w14:paraId="37971B39" w14:textId="77777777" w:rsidR="0080051E" w:rsidRPr="0080051E" w:rsidRDefault="0080051E" w:rsidP="00555612">
      <w:pPr>
        <w:spacing w:after="200" w:line="276" w:lineRule="auto"/>
        <w:ind w:left="180"/>
        <w:jc w:val="both"/>
        <w:rPr>
          <w:rFonts w:eastAsiaTheme="minorHAnsi" w:cs="Arial"/>
          <w:sz w:val="22"/>
          <w:szCs w:val="22"/>
        </w:rPr>
      </w:pPr>
      <w:r w:rsidRPr="0080051E">
        <w:rPr>
          <w:rFonts w:eastAsiaTheme="minorHAnsi" w:cs="Arial"/>
          <w:sz w:val="22"/>
          <w:szCs w:val="22"/>
          <w:u w:val="single"/>
        </w:rPr>
        <w:t>Charitable Contributions</w:t>
      </w:r>
      <w:r w:rsidRPr="0080051E">
        <w:rPr>
          <w:rFonts w:eastAsiaTheme="minorHAnsi" w:cs="Arial"/>
          <w:sz w:val="22"/>
          <w:szCs w:val="22"/>
        </w:rPr>
        <w:t>: No charitable donations may be given, offered, promised or authorized without express authorization from the appropriate company resource. If a donation is authorized, it must fully comply with all applicable laws and be properly and accurately reflected in the Company’s books and records.</w:t>
      </w:r>
    </w:p>
    <w:p w14:paraId="3AFC1BAF" w14:textId="0269C283" w:rsidR="0080051E" w:rsidRPr="0080051E" w:rsidRDefault="0080051E" w:rsidP="00555612">
      <w:pPr>
        <w:spacing w:after="200" w:line="276" w:lineRule="auto"/>
        <w:ind w:left="180"/>
        <w:jc w:val="both"/>
        <w:rPr>
          <w:rFonts w:eastAsiaTheme="minorHAnsi" w:cs="Arial"/>
          <w:sz w:val="22"/>
          <w:szCs w:val="22"/>
        </w:rPr>
      </w:pPr>
      <w:r w:rsidRPr="0080051E">
        <w:rPr>
          <w:rFonts w:eastAsiaTheme="minorHAnsi" w:cs="Arial"/>
          <w:sz w:val="22"/>
          <w:szCs w:val="22"/>
          <w:u w:val="single"/>
        </w:rPr>
        <w:t>Gifts, Hospitality and Travel</w:t>
      </w:r>
      <w:r w:rsidRPr="0080051E">
        <w:rPr>
          <w:rFonts w:eastAsiaTheme="minorHAnsi" w:cs="Arial"/>
          <w:sz w:val="22"/>
          <w:szCs w:val="22"/>
        </w:rPr>
        <w:t>: Neither the Company, its Employees, nor its third parties shall offer or receive gifts, hospitality or travel whenever these could affect the outcome of business transactions or other matters the Company is involved in, or where doing so would be in violation of the laws of the recipient’s country.</w:t>
      </w:r>
    </w:p>
    <w:p w14:paraId="74BECCC2" w14:textId="377C3582" w:rsidR="0080051E" w:rsidRPr="0080051E" w:rsidRDefault="0080051E" w:rsidP="00555612">
      <w:pPr>
        <w:spacing w:after="200" w:line="276" w:lineRule="auto"/>
        <w:ind w:left="180"/>
        <w:jc w:val="both"/>
        <w:rPr>
          <w:rFonts w:eastAsiaTheme="minorHAnsi" w:cs="Arial"/>
          <w:sz w:val="22"/>
          <w:szCs w:val="22"/>
        </w:rPr>
      </w:pPr>
      <w:r w:rsidRPr="0080051E">
        <w:rPr>
          <w:rFonts w:eastAsiaTheme="minorHAnsi" w:cs="Arial"/>
          <w:sz w:val="22"/>
          <w:szCs w:val="22"/>
        </w:rPr>
        <w:t xml:space="preserve">All gifts, hospitality and travel must be made consistent with the Company’s Anti-corruption </w:t>
      </w:r>
      <w:r w:rsidR="00555612">
        <w:rPr>
          <w:rFonts w:eastAsiaTheme="minorHAnsi" w:cs="Arial"/>
          <w:sz w:val="22"/>
          <w:szCs w:val="22"/>
        </w:rPr>
        <w:t xml:space="preserve">Policy, its related Compliance Plan guideline and </w:t>
      </w:r>
      <w:r w:rsidRPr="0080051E">
        <w:rPr>
          <w:rFonts w:eastAsiaTheme="minorHAnsi" w:cs="Arial"/>
          <w:sz w:val="22"/>
          <w:szCs w:val="22"/>
        </w:rPr>
        <w:t>be properly and accurately recorded in the Company’s books, records and accounts. The Company, its Employees and third parties shall not offer or receive gifts, hospitality or travel that are not reasonable and legitimate business expenditures. Any gifts, hospitality or travel offered or provided must be directly related to the promotion or demonstration of the Company’s products or services, or directly related to the performance of a contract with a government, government agency, or state-owned or</w:t>
      </w:r>
      <w:r w:rsidR="003C7990">
        <w:rPr>
          <w:rFonts w:eastAsiaTheme="minorHAnsi" w:cs="Arial"/>
          <w:sz w:val="22"/>
          <w:szCs w:val="22"/>
        </w:rPr>
        <w:t xml:space="preserve"> </w:t>
      </w:r>
      <w:r w:rsidRPr="0080051E">
        <w:rPr>
          <w:rFonts w:eastAsiaTheme="minorHAnsi" w:cs="Arial"/>
          <w:sz w:val="22"/>
          <w:szCs w:val="22"/>
        </w:rPr>
        <w:t>controlled entity. Any expenses that do not meet these criteria will not be reimbursed or otherwise paid for by the Company.</w:t>
      </w:r>
    </w:p>
    <w:p w14:paraId="6E7509C5" w14:textId="782740C6" w:rsidR="0080051E" w:rsidRPr="0080051E" w:rsidRDefault="0080051E" w:rsidP="00555612">
      <w:pPr>
        <w:spacing w:after="200" w:line="276" w:lineRule="auto"/>
        <w:ind w:left="180"/>
        <w:jc w:val="both"/>
        <w:rPr>
          <w:rFonts w:eastAsiaTheme="minorHAnsi" w:cs="Arial"/>
          <w:sz w:val="22"/>
          <w:szCs w:val="22"/>
        </w:rPr>
      </w:pPr>
      <w:r w:rsidRPr="0080051E">
        <w:rPr>
          <w:rFonts w:eastAsiaTheme="minorHAnsi" w:cs="Arial"/>
          <w:sz w:val="22"/>
          <w:szCs w:val="22"/>
        </w:rPr>
        <w:t xml:space="preserve">In order to qualify for reimbursement, proposed expenses must be explicitly detailed in the request, i.e., broken down by names and positions of government officials, dates and places of travel, and the amount and type of specific expenses. The </w:t>
      </w:r>
      <w:r w:rsidR="00A13F94">
        <w:rPr>
          <w:rFonts w:eastAsiaTheme="minorHAnsi" w:cs="Arial"/>
          <w:sz w:val="22"/>
          <w:szCs w:val="22"/>
        </w:rPr>
        <w:t>C</w:t>
      </w:r>
      <w:r w:rsidRPr="0080051E">
        <w:rPr>
          <w:rFonts w:eastAsiaTheme="minorHAnsi" w:cs="Arial"/>
          <w:sz w:val="22"/>
          <w:szCs w:val="22"/>
        </w:rPr>
        <w:t>ompany reserves the right to deny, in whole or in part, any expenses related to the travel of a government or political party official (including officers and employees of government-owned or government-controlled enterprises) for any reason.</w:t>
      </w:r>
      <w:r w:rsidR="00A13F94">
        <w:rPr>
          <w:rFonts w:eastAsiaTheme="minorHAnsi" w:cs="Arial"/>
          <w:sz w:val="22"/>
          <w:szCs w:val="22"/>
        </w:rPr>
        <w:t xml:space="preserve"> </w:t>
      </w:r>
      <w:r w:rsidRPr="0080051E">
        <w:rPr>
          <w:rFonts w:eastAsiaTheme="minorHAnsi" w:cs="Arial"/>
          <w:sz w:val="22"/>
          <w:szCs w:val="22"/>
        </w:rPr>
        <w:t>Employees who authorize the reimbursement or payment of expenses covered by this section without following the above procedures will be subject to disciplinary action, including termination of employment.</w:t>
      </w:r>
    </w:p>
    <w:p w14:paraId="1B04CCF2" w14:textId="77777777" w:rsidR="0080051E" w:rsidRPr="0080051E" w:rsidRDefault="0080051E" w:rsidP="00555612">
      <w:pPr>
        <w:spacing w:after="200" w:line="276" w:lineRule="auto"/>
        <w:ind w:left="180"/>
        <w:jc w:val="both"/>
        <w:rPr>
          <w:rFonts w:eastAsiaTheme="minorHAnsi" w:cs="Arial"/>
          <w:sz w:val="22"/>
          <w:szCs w:val="22"/>
        </w:rPr>
      </w:pPr>
      <w:r w:rsidRPr="0080051E">
        <w:rPr>
          <w:rFonts w:eastAsiaTheme="minorHAnsi" w:cs="Arial"/>
          <w:sz w:val="22"/>
          <w:szCs w:val="22"/>
          <w:u w:val="single"/>
        </w:rPr>
        <w:lastRenderedPageBreak/>
        <w:t>Conflicts of Interest</w:t>
      </w:r>
      <w:r w:rsidRPr="0080051E">
        <w:rPr>
          <w:rFonts w:eastAsiaTheme="minorHAnsi" w:cs="Arial"/>
          <w:sz w:val="22"/>
          <w:szCs w:val="22"/>
        </w:rPr>
        <w:t>: The Company and its Employees shall avoid any relationship or activity that might impair, or reasonably appear to impair, their ability to render objective and appropriate business decisions in the performance of their jobs.</w:t>
      </w:r>
    </w:p>
    <w:p w14:paraId="2237157D" w14:textId="77777777" w:rsidR="0080051E" w:rsidRPr="0080051E" w:rsidRDefault="0080051E" w:rsidP="00555612">
      <w:pPr>
        <w:spacing w:after="200" w:line="276" w:lineRule="auto"/>
        <w:ind w:left="180"/>
        <w:jc w:val="both"/>
        <w:rPr>
          <w:rFonts w:eastAsiaTheme="minorHAnsi" w:cs="Arial"/>
          <w:sz w:val="22"/>
          <w:szCs w:val="22"/>
        </w:rPr>
      </w:pPr>
      <w:r w:rsidRPr="0080051E">
        <w:rPr>
          <w:rFonts w:eastAsiaTheme="minorHAnsi" w:cs="Arial"/>
          <w:sz w:val="22"/>
          <w:szCs w:val="22"/>
          <w:u w:val="single"/>
        </w:rPr>
        <w:t>Books and Records</w:t>
      </w:r>
      <w:r w:rsidRPr="0080051E">
        <w:rPr>
          <w:rFonts w:eastAsiaTheme="minorHAnsi" w:cs="Arial"/>
          <w:sz w:val="22"/>
          <w:szCs w:val="22"/>
        </w:rPr>
        <w:t>: The Company is committed to maintaining complete and accurate books, records and accounts. All transactions, including payments, reimbursement requests, expenditures, expense reports, invoices, vouchers, gifts, and business entertainment must be properly and accurately entered into the Company books, records and accounts in a timely manner, in detail, and with supporting documentation.</w:t>
      </w:r>
    </w:p>
    <w:p w14:paraId="36403161" w14:textId="5FD28A08" w:rsidR="0080051E" w:rsidRPr="0080051E" w:rsidRDefault="0080051E" w:rsidP="00555612">
      <w:pPr>
        <w:spacing w:after="200" w:line="276" w:lineRule="auto"/>
        <w:ind w:left="180"/>
        <w:jc w:val="both"/>
        <w:rPr>
          <w:rFonts w:eastAsiaTheme="minorHAnsi" w:cs="Arial"/>
          <w:sz w:val="22"/>
          <w:szCs w:val="22"/>
        </w:rPr>
      </w:pPr>
      <w:r w:rsidRPr="0080051E">
        <w:rPr>
          <w:rFonts w:eastAsiaTheme="minorHAnsi" w:cs="Arial"/>
          <w:sz w:val="22"/>
          <w:szCs w:val="22"/>
          <w:u w:val="single"/>
        </w:rPr>
        <w:t>Training</w:t>
      </w:r>
      <w:r w:rsidRPr="0080051E">
        <w:rPr>
          <w:rFonts w:eastAsiaTheme="minorHAnsi" w:cs="Arial"/>
          <w:sz w:val="22"/>
          <w:szCs w:val="22"/>
        </w:rPr>
        <w:t xml:space="preserve">: The officers, directors and </w:t>
      </w:r>
      <w:r w:rsidR="00A13F94">
        <w:rPr>
          <w:rFonts w:eastAsiaTheme="minorHAnsi" w:cs="Arial"/>
          <w:sz w:val="22"/>
          <w:szCs w:val="22"/>
        </w:rPr>
        <w:t>E</w:t>
      </w:r>
      <w:r w:rsidRPr="0080051E">
        <w:rPr>
          <w:rFonts w:eastAsiaTheme="minorHAnsi" w:cs="Arial"/>
          <w:sz w:val="22"/>
          <w:szCs w:val="22"/>
        </w:rPr>
        <w:t>mployees must participate in anti-bribery training on a periodic basis. Employees must certify annually that they have read this policy and that they are acting and will continue to act in compliance with this policy.</w:t>
      </w:r>
    </w:p>
    <w:p w14:paraId="092BCA5F" w14:textId="5E543357" w:rsidR="00DC3EA3" w:rsidRPr="00A668E6" w:rsidRDefault="00DC3EA3" w:rsidP="00555612">
      <w:pPr>
        <w:autoSpaceDE w:val="0"/>
        <w:autoSpaceDN w:val="0"/>
        <w:adjustRightInd w:val="0"/>
        <w:spacing w:before="120" w:after="120"/>
        <w:ind w:left="180"/>
        <w:jc w:val="both"/>
        <w:rPr>
          <w:rFonts w:eastAsia="Calibri" w:cs="Arial"/>
          <w:color w:val="000000"/>
          <w:sz w:val="22"/>
          <w:szCs w:val="22"/>
        </w:rPr>
      </w:pPr>
      <w:r w:rsidRPr="00A668E6">
        <w:rPr>
          <w:rFonts w:eastAsia="Calibri" w:cs="Arial"/>
          <w:color w:val="000000"/>
          <w:sz w:val="22"/>
          <w:szCs w:val="22"/>
        </w:rPr>
        <w:t xml:space="preserve"> </w:t>
      </w:r>
    </w:p>
    <w:sectPr w:rsidR="00DC3EA3" w:rsidRPr="00A668E6">
      <w:headerReference w:type="default" r:id="rId9"/>
      <w:footerReference w:type="default" r:id="rId10"/>
      <w:headerReference w:type="first" r:id="rId11"/>
      <w:footerReference w:type="first" r:id="rId12"/>
      <w:pgSz w:w="12240" w:h="15840" w:code="1"/>
      <w:pgMar w:top="1080" w:right="720" w:bottom="1080" w:left="720" w:header="720" w:footer="360" w:gutter="0"/>
      <w:paperSrc w:first="15" w:other="15"/>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98E6B" w14:textId="77777777" w:rsidR="00EF6426" w:rsidRDefault="00EF6426">
      <w:r>
        <w:separator/>
      </w:r>
    </w:p>
  </w:endnote>
  <w:endnote w:type="continuationSeparator" w:id="0">
    <w:p w14:paraId="79CE3DDE" w14:textId="77777777" w:rsidR="00EF6426" w:rsidRDefault="00EF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TT) 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8" w:space="0" w:color="auto"/>
      </w:tblBorders>
      <w:tblLayout w:type="fixed"/>
      <w:tblLook w:val="0000" w:firstRow="0" w:lastRow="0" w:firstColumn="0" w:lastColumn="0" w:noHBand="0" w:noVBand="0"/>
    </w:tblPr>
    <w:tblGrid>
      <w:gridCol w:w="9801"/>
      <w:gridCol w:w="1026"/>
    </w:tblGrid>
    <w:tr w:rsidR="00B80EF4" w14:paraId="10AF82C2" w14:textId="77777777">
      <w:trPr>
        <w:cantSplit/>
        <w:trHeight w:val="430"/>
        <w:jc w:val="center"/>
      </w:trPr>
      <w:tc>
        <w:tcPr>
          <w:tcW w:w="9801" w:type="dxa"/>
        </w:tcPr>
        <w:p w14:paraId="5D112E1D" w14:textId="77777777" w:rsidR="00B80EF4" w:rsidRDefault="00B80EF4">
          <w:pPr>
            <w:pStyle w:val="Footer"/>
            <w:spacing w:before="40" w:after="40"/>
            <w:rPr>
              <w:snapToGrid w:val="0"/>
            </w:rPr>
          </w:pPr>
          <w:r>
            <w:t xml:space="preserve">This document contains trade secrets and proprietary information of IAP.  Disclosure of this publication is absolutely prohibited without express written permission of IAP </w:t>
          </w:r>
          <w:r>
            <w:rPr>
              <w:snapToGrid w:val="0"/>
              <w:color w:val="000000"/>
            </w:rPr>
            <w:t xml:space="preserve">© 2005.  </w:t>
          </w:r>
          <w:r w:rsidR="001505D0">
            <w:rPr>
              <w:snapToGrid w:val="0"/>
              <w:color w:val="000000"/>
            </w:rPr>
            <w:t>Uncontrolled copy of an online document.</w:t>
          </w:r>
        </w:p>
      </w:tc>
      <w:tc>
        <w:tcPr>
          <w:tcW w:w="1026" w:type="dxa"/>
        </w:tcPr>
        <w:p w14:paraId="7722E4C6" w14:textId="77777777" w:rsidR="00B80EF4" w:rsidRDefault="00B80EF4">
          <w:pPr>
            <w:pStyle w:val="Footer"/>
            <w:spacing w:before="40" w:after="40"/>
            <w:ind w:left="-175" w:right="-95"/>
            <w:rPr>
              <w:snapToGrid w:val="0"/>
            </w:rPr>
          </w:pPr>
          <w:r>
            <w:rPr>
              <w:snapToGrid w:val="0"/>
            </w:rPr>
            <w:t xml:space="preserve">Page </w:t>
          </w:r>
          <w:r>
            <w:fldChar w:fldCharType="begin"/>
          </w:r>
          <w:r>
            <w:instrText xml:space="preserve"> PAGE </w:instrText>
          </w:r>
          <w:r>
            <w:fldChar w:fldCharType="separate"/>
          </w:r>
          <w:r w:rsidR="00D34FC3">
            <w:rPr>
              <w:noProof/>
            </w:rPr>
            <w:t>2</w:t>
          </w:r>
          <w:r>
            <w:fldChar w:fldCharType="end"/>
          </w:r>
          <w:r>
            <w:rPr>
              <w:snapToGrid w:val="0"/>
            </w:rPr>
            <w:t xml:space="preserve"> of </w:t>
          </w:r>
          <w:r>
            <w:rPr>
              <w:rStyle w:val="PageNumber"/>
            </w:rPr>
            <w:fldChar w:fldCharType="begin"/>
          </w:r>
          <w:r>
            <w:rPr>
              <w:rStyle w:val="PageNumber"/>
            </w:rPr>
            <w:instrText xml:space="preserve"> NUMPAGES </w:instrText>
          </w:r>
          <w:r>
            <w:rPr>
              <w:rStyle w:val="PageNumber"/>
            </w:rPr>
            <w:fldChar w:fldCharType="separate"/>
          </w:r>
          <w:r w:rsidR="00D34FC3">
            <w:rPr>
              <w:rStyle w:val="PageNumber"/>
              <w:noProof/>
            </w:rPr>
            <w:t>2</w:t>
          </w:r>
          <w:r>
            <w:rPr>
              <w:rStyle w:val="PageNumber"/>
            </w:rPr>
            <w:fldChar w:fldCharType="end"/>
          </w:r>
        </w:p>
      </w:tc>
    </w:tr>
  </w:tbl>
  <w:p w14:paraId="383805A6" w14:textId="77777777" w:rsidR="00B80EF4" w:rsidRDefault="00B80EF4">
    <w:pPr>
      <w:pStyle w:val="Footer"/>
      <w:spacing w:before="0"/>
      <w:jc w:val="lef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94" w:type="dxa"/>
      <w:jc w:val="center"/>
      <w:tblBorders>
        <w:top w:val="single" w:sz="8" w:space="0" w:color="auto"/>
      </w:tblBorders>
      <w:tblLayout w:type="fixed"/>
      <w:tblLook w:val="0000" w:firstRow="0" w:lastRow="0" w:firstColumn="0" w:lastColumn="0" w:noHBand="0" w:noVBand="0"/>
    </w:tblPr>
    <w:tblGrid>
      <w:gridCol w:w="10094"/>
      <w:gridCol w:w="900"/>
    </w:tblGrid>
    <w:tr w:rsidR="00B80EF4" w14:paraId="6EF1F77B" w14:textId="77777777" w:rsidTr="00773D8E">
      <w:trPr>
        <w:cantSplit/>
        <w:trHeight w:val="430"/>
        <w:jc w:val="center"/>
      </w:trPr>
      <w:tc>
        <w:tcPr>
          <w:tcW w:w="10094" w:type="dxa"/>
        </w:tcPr>
        <w:p w14:paraId="40951776" w14:textId="77777777" w:rsidR="00B80EF4" w:rsidRDefault="00773D8E" w:rsidP="00773D8E">
          <w:pPr>
            <w:pStyle w:val="Footer"/>
            <w:spacing w:before="40" w:after="40"/>
            <w:ind w:left="-94" w:right="-108"/>
            <w:rPr>
              <w:snapToGrid w:val="0"/>
            </w:rPr>
          </w:pPr>
          <w:r>
            <w:rPr>
              <w:rFonts w:cs="Arial"/>
              <w:color w:val="000000"/>
              <w:szCs w:val="16"/>
            </w:rPr>
            <w:t>This material contains proprietary information of IAP Worldwide Services, Inc. (IAP).  Disclosure to others, use, or copying without the express written authorization of IAP is strictly prohibited.  Any authorized copying of this material, in whole or in part, must include this legend.</w:t>
          </w:r>
        </w:p>
      </w:tc>
      <w:tc>
        <w:tcPr>
          <w:tcW w:w="900" w:type="dxa"/>
        </w:tcPr>
        <w:p w14:paraId="32B1ED86" w14:textId="77777777" w:rsidR="00B80EF4" w:rsidRDefault="00B80EF4">
          <w:pPr>
            <w:pStyle w:val="Footer"/>
            <w:spacing w:before="40" w:after="40"/>
            <w:ind w:left="-85" w:right="-95"/>
            <w:rPr>
              <w:snapToGrid w:val="0"/>
            </w:rPr>
          </w:pPr>
          <w:r>
            <w:rPr>
              <w:snapToGrid w:val="0"/>
            </w:rPr>
            <w:t xml:space="preserve">Page </w:t>
          </w:r>
          <w:r>
            <w:fldChar w:fldCharType="begin"/>
          </w:r>
          <w:r>
            <w:instrText xml:space="preserve"> PAGE </w:instrText>
          </w:r>
          <w:r>
            <w:fldChar w:fldCharType="separate"/>
          </w:r>
          <w:r w:rsidR="00D34FC3">
            <w:rPr>
              <w:noProof/>
            </w:rPr>
            <w:t>1</w:t>
          </w:r>
          <w:r>
            <w:fldChar w:fldCharType="end"/>
          </w:r>
          <w:r>
            <w:rPr>
              <w:snapToGrid w:val="0"/>
            </w:rPr>
            <w:t xml:space="preserve"> of </w:t>
          </w:r>
          <w:r>
            <w:rPr>
              <w:rStyle w:val="PageNumber"/>
            </w:rPr>
            <w:fldChar w:fldCharType="begin"/>
          </w:r>
          <w:r>
            <w:rPr>
              <w:rStyle w:val="PageNumber"/>
            </w:rPr>
            <w:instrText xml:space="preserve"> NUMPAGES </w:instrText>
          </w:r>
          <w:r>
            <w:rPr>
              <w:rStyle w:val="PageNumber"/>
            </w:rPr>
            <w:fldChar w:fldCharType="separate"/>
          </w:r>
          <w:r w:rsidR="00D34FC3">
            <w:rPr>
              <w:rStyle w:val="PageNumber"/>
              <w:noProof/>
            </w:rPr>
            <w:t>2</w:t>
          </w:r>
          <w:r>
            <w:rPr>
              <w:rStyle w:val="PageNumber"/>
            </w:rPr>
            <w:fldChar w:fldCharType="end"/>
          </w:r>
        </w:p>
      </w:tc>
    </w:tr>
  </w:tbl>
  <w:p w14:paraId="53B026AA" w14:textId="77777777" w:rsidR="00B80EF4" w:rsidRDefault="00B80EF4">
    <w:pPr>
      <w:pStyle w:val="Footer"/>
      <w:spacing w:before="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59DD8" w14:textId="77777777" w:rsidR="00EF6426" w:rsidRDefault="00EF6426">
      <w:r>
        <w:separator/>
      </w:r>
    </w:p>
  </w:footnote>
  <w:footnote w:type="continuationSeparator" w:id="0">
    <w:p w14:paraId="0106B871" w14:textId="77777777" w:rsidR="00EF6426" w:rsidRDefault="00EF6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bottom w:val="single" w:sz="12" w:space="0" w:color="auto"/>
      </w:tblBorders>
      <w:tblLook w:val="0000" w:firstRow="0" w:lastRow="0" w:firstColumn="0" w:lastColumn="0" w:noHBand="0" w:noVBand="0"/>
    </w:tblPr>
    <w:tblGrid>
      <w:gridCol w:w="2745"/>
      <w:gridCol w:w="7947"/>
    </w:tblGrid>
    <w:tr w:rsidR="00B80EF4" w14:paraId="7681E5A6" w14:textId="77777777" w:rsidTr="00773D8E">
      <w:trPr>
        <w:cantSplit/>
        <w:trHeight w:val="621"/>
      </w:trPr>
      <w:tc>
        <w:tcPr>
          <w:tcW w:w="2790" w:type="dxa"/>
          <w:vAlign w:val="center"/>
        </w:tcPr>
        <w:p w14:paraId="6F44A314" w14:textId="77777777" w:rsidR="00B80EF4" w:rsidRDefault="00B80EF4">
          <w:pPr>
            <w:pStyle w:val="Header"/>
            <w:tabs>
              <w:tab w:val="clear" w:pos="9360"/>
              <w:tab w:val="right" w:pos="8640"/>
            </w:tabs>
            <w:rPr>
              <w:b w:val="0"/>
              <w:sz w:val="28"/>
            </w:rPr>
          </w:pPr>
          <w:r>
            <w:rPr>
              <w:i w:val="0"/>
              <w:caps w:val="0"/>
              <w:sz w:val="28"/>
            </w:rPr>
            <w:t>Policy</w:t>
          </w:r>
        </w:p>
      </w:tc>
      <w:tc>
        <w:tcPr>
          <w:tcW w:w="8100" w:type="dxa"/>
          <w:vAlign w:val="center"/>
        </w:tcPr>
        <w:p w14:paraId="373139C4" w14:textId="77777777" w:rsidR="00B80EF4" w:rsidRDefault="00995580">
          <w:pPr>
            <w:pStyle w:val="Header"/>
            <w:jc w:val="right"/>
            <w:rPr>
              <w:bCs/>
              <w:i w:val="0"/>
              <w:iCs/>
              <w:sz w:val="28"/>
            </w:rPr>
          </w:pPr>
          <w:r>
            <w:rPr>
              <w:bCs/>
              <w:i w:val="0"/>
              <w:iCs/>
              <w:sz w:val="28"/>
            </w:rPr>
            <w:t>ANTI-CORRUPTION POLICY</w:t>
          </w:r>
        </w:p>
      </w:tc>
    </w:tr>
  </w:tbl>
  <w:p w14:paraId="7053FC26" w14:textId="77777777" w:rsidR="00B80EF4" w:rsidRDefault="00B80EF4">
    <w:pPr>
      <w:pStyle w:val="Header"/>
      <w:rPr>
        <w:sz w:val="16"/>
      </w:rPr>
    </w:pPr>
  </w:p>
  <w:p w14:paraId="60FD3EE8" w14:textId="77777777" w:rsidR="00BA4DAA" w:rsidRDefault="00BA4DAA">
    <w:pPr>
      <w:pStyle w:val="Header"/>
      <w:rPr>
        <w:sz w:val="16"/>
      </w:rPr>
    </w:pPr>
  </w:p>
  <w:p w14:paraId="6E6322EB" w14:textId="77777777" w:rsidR="00B80EF4" w:rsidRDefault="00B80EF4">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60"/>
      <w:gridCol w:w="1940"/>
      <w:gridCol w:w="4000"/>
      <w:gridCol w:w="1890"/>
      <w:gridCol w:w="1710"/>
    </w:tblGrid>
    <w:tr w:rsidR="00B80EF4" w14:paraId="5E4760F1" w14:textId="77777777" w:rsidTr="003B3A67">
      <w:trPr>
        <w:cantSplit/>
        <w:trHeight w:val="990"/>
      </w:trPr>
      <w:tc>
        <w:tcPr>
          <w:tcW w:w="3200" w:type="dxa"/>
          <w:gridSpan w:val="2"/>
          <w:tcBorders>
            <w:top w:val="nil"/>
            <w:left w:val="nil"/>
            <w:bottom w:val="single" w:sz="12" w:space="0" w:color="auto"/>
            <w:right w:val="nil"/>
          </w:tcBorders>
          <w:vAlign w:val="center"/>
        </w:tcPr>
        <w:p w14:paraId="49B71724" w14:textId="77777777" w:rsidR="00B80EF4" w:rsidRDefault="00096C58">
          <w:pPr>
            <w:pStyle w:val="Header"/>
            <w:rPr>
              <w:b w:val="0"/>
              <w:color w:val="0000FF"/>
              <w:sz w:val="36"/>
            </w:rPr>
          </w:pPr>
          <w:r>
            <w:rPr>
              <w:noProof/>
            </w:rPr>
            <w:drawing>
              <wp:inline distT="0" distB="0" distL="0" distR="0" wp14:anchorId="359EEC51" wp14:editId="2CDCA928">
                <wp:extent cx="1724025" cy="447675"/>
                <wp:effectExtent l="0" t="0" r="9525" b="9525"/>
                <wp:docPr id="2" name="Picture 2" descr="IAP_Hoiz_red-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AP_Hoiz_red-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447675"/>
                        </a:xfrm>
                        <a:prstGeom prst="rect">
                          <a:avLst/>
                        </a:prstGeom>
                        <a:noFill/>
                        <a:ln>
                          <a:noFill/>
                        </a:ln>
                      </pic:spPr>
                    </pic:pic>
                  </a:graphicData>
                </a:graphic>
              </wp:inline>
            </w:drawing>
          </w:r>
        </w:p>
      </w:tc>
      <w:tc>
        <w:tcPr>
          <w:tcW w:w="7600" w:type="dxa"/>
          <w:gridSpan w:val="3"/>
          <w:tcBorders>
            <w:top w:val="nil"/>
            <w:left w:val="nil"/>
            <w:bottom w:val="single" w:sz="12" w:space="0" w:color="auto"/>
            <w:right w:val="nil"/>
          </w:tcBorders>
          <w:vAlign w:val="center"/>
        </w:tcPr>
        <w:p w14:paraId="0FFFAAC7" w14:textId="77777777" w:rsidR="00B80EF4" w:rsidRDefault="00B80EF4">
          <w:pPr>
            <w:pStyle w:val="Header"/>
            <w:tabs>
              <w:tab w:val="clear" w:pos="9360"/>
              <w:tab w:val="right" w:pos="8640"/>
            </w:tabs>
            <w:jc w:val="right"/>
            <w:rPr>
              <w:i w:val="0"/>
              <w:caps w:val="0"/>
            </w:rPr>
          </w:pPr>
          <w:r>
            <w:rPr>
              <w:i w:val="0"/>
              <w:caps w:val="0"/>
              <w:sz w:val="32"/>
            </w:rPr>
            <w:t>Policy</w:t>
          </w:r>
        </w:p>
      </w:tc>
    </w:tr>
    <w:tr w:rsidR="00820006" w14:paraId="3F724CD7" w14:textId="77777777" w:rsidTr="00933700">
      <w:tc>
        <w:tcPr>
          <w:tcW w:w="1260" w:type="dxa"/>
          <w:tcBorders>
            <w:top w:val="single" w:sz="4" w:space="0" w:color="808080"/>
          </w:tcBorders>
        </w:tcPr>
        <w:p w14:paraId="735EF6C8" w14:textId="77777777" w:rsidR="00820006" w:rsidRDefault="00820006" w:rsidP="00933700">
          <w:pPr>
            <w:pStyle w:val="Header"/>
            <w:tabs>
              <w:tab w:val="clear" w:pos="9360"/>
              <w:tab w:val="right" w:pos="8640"/>
            </w:tabs>
            <w:spacing w:before="40" w:after="40"/>
            <w:jc w:val="right"/>
            <w:rPr>
              <w:b w:val="0"/>
              <w:bCs/>
              <w:i w:val="0"/>
              <w:caps w:val="0"/>
              <w:sz w:val="22"/>
            </w:rPr>
          </w:pPr>
          <w:r>
            <w:rPr>
              <w:b w:val="0"/>
              <w:bCs/>
              <w:i w:val="0"/>
              <w:caps w:val="0"/>
              <w:sz w:val="22"/>
            </w:rPr>
            <w:t>Title:</w:t>
          </w:r>
        </w:p>
      </w:tc>
      <w:tc>
        <w:tcPr>
          <w:tcW w:w="5940" w:type="dxa"/>
          <w:gridSpan w:val="2"/>
          <w:tcBorders>
            <w:top w:val="single" w:sz="4" w:space="0" w:color="808080"/>
          </w:tcBorders>
        </w:tcPr>
        <w:p w14:paraId="1D2E52D1" w14:textId="77777777" w:rsidR="00820006" w:rsidRDefault="00684F7F" w:rsidP="00933700">
          <w:pPr>
            <w:pStyle w:val="Header"/>
            <w:tabs>
              <w:tab w:val="clear" w:pos="9360"/>
              <w:tab w:val="right" w:pos="8640"/>
            </w:tabs>
            <w:spacing w:before="40" w:after="40"/>
            <w:rPr>
              <w:i w:val="0"/>
              <w:caps w:val="0"/>
              <w:sz w:val="22"/>
            </w:rPr>
          </w:pPr>
          <w:r>
            <w:rPr>
              <w:i w:val="0"/>
              <w:caps w:val="0"/>
              <w:sz w:val="22"/>
            </w:rPr>
            <w:t>Anti-Corruption Policy</w:t>
          </w:r>
        </w:p>
      </w:tc>
      <w:tc>
        <w:tcPr>
          <w:tcW w:w="1890" w:type="dxa"/>
          <w:tcBorders>
            <w:top w:val="single" w:sz="4" w:space="0" w:color="808080"/>
          </w:tcBorders>
        </w:tcPr>
        <w:p w14:paraId="152BCEA8" w14:textId="77777777" w:rsidR="00820006" w:rsidRDefault="00820006" w:rsidP="00933700">
          <w:pPr>
            <w:pStyle w:val="Header"/>
            <w:tabs>
              <w:tab w:val="clear" w:pos="9360"/>
              <w:tab w:val="right" w:pos="8640"/>
            </w:tabs>
            <w:spacing w:before="40" w:after="40"/>
            <w:ind w:left="-108"/>
            <w:jc w:val="right"/>
            <w:rPr>
              <w:b w:val="0"/>
              <w:bCs/>
              <w:i w:val="0"/>
              <w:caps w:val="0"/>
              <w:sz w:val="22"/>
            </w:rPr>
          </w:pPr>
          <w:r>
            <w:rPr>
              <w:b w:val="0"/>
              <w:bCs/>
              <w:i w:val="0"/>
              <w:caps w:val="0"/>
              <w:sz w:val="22"/>
            </w:rPr>
            <w:t>Number:</w:t>
          </w:r>
        </w:p>
      </w:tc>
      <w:tc>
        <w:tcPr>
          <w:tcW w:w="1710" w:type="dxa"/>
          <w:tcBorders>
            <w:top w:val="single" w:sz="4" w:space="0" w:color="808080"/>
          </w:tcBorders>
        </w:tcPr>
        <w:p w14:paraId="4CA3B562" w14:textId="77777777" w:rsidR="00820006" w:rsidRDefault="00820006" w:rsidP="00D34FC3">
          <w:pPr>
            <w:pStyle w:val="Header"/>
            <w:tabs>
              <w:tab w:val="clear" w:pos="9360"/>
              <w:tab w:val="right" w:pos="8640"/>
            </w:tabs>
            <w:spacing w:before="40" w:after="40"/>
            <w:rPr>
              <w:b w:val="0"/>
              <w:i w:val="0"/>
              <w:caps w:val="0"/>
              <w:sz w:val="22"/>
            </w:rPr>
          </w:pPr>
          <w:r>
            <w:rPr>
              <w:b w:val="0"/>
              <w:i w:val="0"/>
              <w:caps w:val="0"/>
              <w:sz w:val="22"/>
            </w:rPr>
            <w:t>01-</w:t>
          </w:r>
          <w:r w:rsidR="00D34FC3">
            <w:rPr>
              <w:b w:val="0"/>
              <w:i w:val="0"/>
              <w:caps w:val="0"/>
              <w:sz w:val="22"/>
            </w:rPr>
            <w:t>13</w:t>
          </w:r>
          <w:r>
            <w:rPr>
              <w:b w:val="0"/>
              <w:i w:val="0"/>
              <w:caps w:val="0"/>
              <w:sz w:val="22"/>
            </w:rPr>
            <w:t>.0</w:t>
          </w:r>
        </w:p>
      </w:tc>
    </w:tr>
    <w:tr w:rsidR="00820006" w14:paraId="5F6C38B3" w14:textId="77777777" w:rsidTr="00933700">
      <w:tc>
        <w:tcPr>
          <w:tcW w:w="1260" w:type="dxa"/>
        </w:tcPr>
        <w:p w14:paraId="1EFA9E96" w14:textId="77777777" w:rsidR="00820006" w:rsidRDefault="00820006" w:rsidP="00933700">
          <w:pPr>
            <w:pStyle w:val="Header"/>
            <w:tabs>
              <w:tab w:val="clear" w:pos="9360"/>
              <w:tab w:val="right" w:pos="8640"/>
            </w:tabs>
            <w:spacing w:before="40" w:after="40"/>
            <w:jc w:val="right"/>
            <w:rPr>
              <w:b w:val="0"/>
              <w:bCs/>
              <w:i w:val="0"/>
              <w:caps w:val="0"/>
              <w:sz w:val="22"/>
            </w:rPr>
          </w:pPr>
          <w:r>
            <w:rPr>
              <w:b w:val="0"/>
              <w:bCs/>
              <w:i w:val="0"/>
              <w:caps w:val="0"/>
              <w:sz w:val="22"/>
            </w:rPr>
            <w:t>Originator:</w:t>
          </w:r>
        </w:p>
      </w:tc>
      <w:tc>
        <w:tcPr>
          <w:tcW w:w="5940" w:type="dxa"/>
          <w:gridSpan w:val="2"/>
        </w:tcPr>
        <w:p w14:paraId="0FA2A91A" w14:textId="3B676F50" w:rsidR="00820006" w:rsidRDefault="009B5113" w:rsidP="00933700">
          <w:pPr>
            <w:pStyle w:val="Header"/>
            <w:tabs>
              <w:tab w:val="clear" w:pos="9360"/>
              <w:tab w:val="right" w:pos="8640"/>
            </w:tabs>
            <w:spacing w:before="40" w:after="40"/>
            <w:rPr>
              <w:b w:val="0"/>
              <w:bCs/>
              <w:i w:val="0"/>
              <w:caps w:val="0"/>
              <w:sz w:val="22"/>
            </w:rPr>
          </w:pPr>
          <w:r w:rsidRPr="009B5113">
            <w:rPr>
              <w:b w:val="0"/>
              <w:bCs/>
              <w:i w:val="0"/>
              <w:caps w:val="0"/>
              <w:sz w:val="22"/>
            </w:rPr>
            <w:t>Manager, Ethics &amp; Compliance</w:t>
          </w:r>
        </w:p>
      </w:tc>
      <w:tc>
        <w:tcPr>
          <w:tcW w:w="1890" w:type="dxa"/>
        </w:tcPr>
        <w:p w14:paraId="6E3DFE4B" w14:textId="77777777" w:rsidR="00820006" w:rsidRDefault="00820006" w:rsidP="00933700">
          <w:pPr>
            <w:pStyle w:val="Header"/>
            <w:tabs>
              <w:tab w:val="clear" w:pos="9360"/>
              <w:tab w:val="right" w:pos="8640"/>
            </w:tabs>
            <w:spacing w:before="40" w:after="40"/>
            <w:ind w:left="-108"/>
            <w:jc w:val="right"/>
            <w:rPr>
              <w:b w:val="0"/>
              <w:bCs/>
              <w:i w:val="0"/>
              <w:caps w:val="0"/>
              <w:sz w:val="22"/>
            </w:rPr>
          </w:pPr>
          <w:r>
            <w:rPr>
              <w:b w:val="0"/>
              <w:bCs/>
              <w:i w:val="0"/>
              <w:caps w:val="0"/>
              <w:sz w:val="22"/>
            </w:rPr>
            <w:t>Effective Date:</w:t>
          </w:r>
        </w:p>
      </w:tc>
      <w:tc>
        <w:tcPr>
          <w:tcW w:w="1710" w:type="dxa"/>
        </w:tcPr>
        <w:p w14:paraId="5B5177C2" w14:textId="1D13B37E" w:rsidR="00820006" w:rsidRDefault="00555612" w:rsidP="00467366">
          <w:pPr>
            <w:pStyle w:val="Header"/>
            <w:tabs>
              <w:tab w:val="clear" w:pos="9360"/>
              <w:tab w:val="right" w:pos="8640"/>
            </w:tabs>
            <w:spacing w:before="40" w:after="40"/>
            <w:rPr>
              <w:b w:val="0"/>
              <w:i w:val="0"/>
              <w:caps w:val="0"/>
              <w:sz w:val="22"/>
            </w:rPr>
          </w:pPr>
          <w:r>
            <w:rPr>
              <w:b w:val="0"/>
              <w:i w:val="0"/>
              <w:caps w:val="0"/>
              <w:sz w:val="22"/>
            </w:rPr>
            <w:t>10</w:t>
          </w:r>
          <w:r w:rsidR="00C65EF7">
            <w:rPr>
              <w:b w:val="0"/>
              <w:i w:val="0"/>
              <w:caps w:val="0"/>
              <w:sz w:val="22"/>
            </w:rPr>
            <w:t>-F</w:t>
          </w:r>
          <w:r>
            <w:rPr>
              <w:b w:val="0"/>
              <w:i w:val="0"/>
              <w:caps w:val="0"/>
              <w:sz w:val="22"/>
            </w:rPr>
            <w:t>eb</w:t>
          </w:r>
          <w:r w:rsidR="00C65EF7">
            <w:rPr>
              <w:b w:val="0"/>
              <w:i w:val="0"/>
              <w:caps w:val="0"/>
              <w:sz w:val="22"/>
            </w:rPr>
            <w:t>-2020</w:t>
          </w:r>
        </w:p>
      </w:tc>
    </w:tr>
    <w:tr w:rsidR="00820006" w14:paraId="0816794A" w14:textId="77777777" w:rsidTr="00C65EF7">
      <w:trPr>
        <w:trHeight w:val="458"/>
      </w:trPr>
      <w:tc>
        <w:tcPr>
          <w:tcW w:w="1260" w:type="dxa"/>
        </w:tcPr>
        <w:p w14:paraId="55C80218" w14:textId="77777777" w:rsidR="00820006" w:rsidRDefault="00820006" w:rsidP="00933700">
          <w:pPr>
            <w:pStyle w:val="Header"/>
            <w:tabs>
              <w:tab w:val="clear" w:pos="9360"/>
              <w:tab w:val="right" w:pos="8640"/>
            </w:tabs>
            <w:spacing w:before="40" w:after="40"/>
            <w:jc w:val="right"/>
            <w:rPr>
              <w:b w:val="0"/>
              <w:bCs/>
              <w:i w:val="0"/>
              <w:caps w:val="0"/>
              <w:sz w:val="22"/>
            </w:rPr>
          </w:pPr>
          <w:r>
            <w:rPr>
              <w:b w:val="0"/>
              <w:bCs/>
              <w:i w:val="0"/>
              <w:caps w:val="0"/>
              <w:sz w:val="22"/>
            </w:rPr>
            <w:t>Approver:</w:t>
          </w:r>
        </w:p>
      </w:tc>
      <w:tc>
        <w:tcPr>
          <w:tcW w:w="5940" w:type="dxa"/>
          <w:gridSpan w:val="2"/>
        </w:tcPr>
        <w:p w14:paraId="75052F1A" w14:textId="28275185" w:rsidR="00820006" w:rsidRPr="006D1F7A" w:rsidRDefault="003357E5" w:rsidP="00D74734">
          <w:pPr>
            <w:pStyle w:val="Header"/>
            <w:tabs>
              <w:tab w:val="clear" w:pos="9360"/>
              <w:tab w:val="right" w:pos="8640"/>
            </w:tabs>
            <w:spacing w:before="40" w:after="40"/>
            <w:rPr>
              <w:b w:val="0"/>
              <w:bCs/>
              <w:i w:val="0"/>
              <w:caps w:val="0"/>
              <w:sz w:val="16"/>
              <w:szCs w:val="16"/>
            </w:rPr>
          </w:pPr>
          <w:r>
            <w:rPr>
              <w:b w:val="0"/>
              <w:bCs/>
              <w:i w:val="0"/>
              <w:caps w:val="0"/>
              <w:sz w:val="22"/>
              <w:szCs w:val="22"/>
            </w:rPr>
            <w:t>Vice President, Chief Compliance Officer</w:t>
          </w:r>
        </w:p>
      </w:tc>
      <w:tc>
        <w:tcPr>
          <w:tcW w:w="1890" w:type="dxa"/>
        </w:tcPr>
        <w:p w14:paraId="62ECF739" w14:textId="77777777" w:rsidR="00820006" w:rsidRDefault="00820006" w:rsidP="00933700">
          <w:pPr>
            <w:pStyle w:val="Header"/>
            <w:tabs>
              <w:tab w:val="clear" w:pos="9360"/>
              <w:tab w:val="right" w:pos="8640"/>
            </w:tabs>
            <w:spacing w:before="40" w:after="40"/>
            <w:ind w:left="-108"/>
            <w:jc w:val="right"/>
            <w:rPr>
              <w:b w:val="0"/>
              <w:bCs/>
              <w:i w:val="0"/>
              <w:caps w:val="0"/>
              <w:sz w:val="22"/>
            </w:rPr>
          </w:pPr>
          <w:r>
            <w:rPr>
              <w:b w:val="0"/>
              <w:bCs/>
              <w:i w:val="0"/>
              <w:caps w:val="0"/>
              <w:sz w:val="22"/>
            </w:rPr>
            <w:t>Revision:</w:t>
          </w:r>
        </w:p>
      </w:tc>
      <w:tc>
        <w:tcPr>
          <w:tcW w:w="1710" w:type="dxa"/>
        </w:tcPr>
        <w:p w14:paraId="37D52C6F" w14:textId="7D917AAF" w:rsidR="00820006" w:rsidRDefault="00555612" w:rsidP="00933700">
          <w:pPr>
            <w:pStyle w:val="Header"/>
            <w:tabs>
              <w:tab w:val="clear" w:pos="9360"/>
              <w:tab w:val="right" w:pos="8640"/>
            </w:tabs>
            <w:spacing w:before="40" w:after="40"/>
            <w:rPr>
              <w:b w:val="0"/>
              <w:i w:val="0"/>
              <w:caps w:val="0"/>
              <w:sz w:val="22"/>
            </w:rPr>
          </w:pPr>
          <w:r>
            <w:rPr>
              <w:b w:val="0"/>
              <w:i w:val="0"/>
              <w:caps w:val="0"/>
              <w:sz w:val="22"/>
            </w:rPr>
            <w:t>02</w:t>
          </w:r>
        </w:p>
      </w:tc>
    </w:tr>
  </w:tbl>
  <w:p w14:paraId="6137D2FD" w14:textId="77777777" w:rsidR="00B80EF4" w:rsidRDefault="00B80EF4">
    <w:pPr>
      <w:spacing w:after="4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B3484B6"/>
    <w:lvl w:ilvl="0">
      <w:start w:val="1"/>
      <w:numFmt w:val="upperLetter"/>
      <w:pStyle w:val="ListNumber"/>
      <w:lvlText w:val="%1."/>
      <w:lvlJc w:val="left"/>
      <w:pPr>
        <w:tabs>
          <w:tab w:val="num" w:pos="936"/>
        </w:tabs>
        <w:ind w:left="576" w:firstLine="0"/>
      </w:pPr>
    </w:lvl>
  </w:abstractNum>
  <w:abstractNum w:abstractNumId="1" w15:restartNumberingAfterBreak="0">
    <w:nsid w:val="046C4C04"/>
    <w:multiLevelType w:val="singleLevel"/>
    <w:tmpl w:val="16E00958"/>
    <w:lvl w:ilvl="0">
      <w:start w:val="1"/>
      <w:numFmt w:val="bullet"/>
      <w:pStyle w:val="Heading8"/>
      <w:lvlText w:val=""/>
      <w:lvlJc w:val="left"/>
      <w:pPr>
        <w:tabs>
          <w:tab w:val="num" w:pos="360"/>
        </w:tabs>
        <w:ind w:left="360" w:hanging="360"/>
      </w:pPr>
      <w:rPr>
        <w:rFonts w:ascii="Wingdings" w:hAnsi="Wingdings" w:hint="default"/>
      </w:rPr>
    </w:lvl>
  </w:abstractNum>
  <w:abstractNum w:abstractNumId="2" w15:restartNumberingAfterBreak="0">
    <w:nsid w:val="1AD34278"/>
    <w:multiLevelType w:val="singleLevel"/>
    <w:tmpl w:val="DB201208"/>
    <w:lvl w:ilvl="0">
      <w:start w:val="1"/>
      <w:numFmt w:val="bullet"/>
      <w:pStyle w:val="Heading9"/>
      <w:lvlText w:val="▪"/>
      <w:lvlJc w:val="left"/>
      <w:pPr>
        <w:tabs>
          <w:tab w:val="num" w:pos="3240"/>
        </w:tabs>
        <w:ind w:left="3240" w:hanging="360"/>
      </w:pPr>
      <w:rPr>
        <w:rFonts w:hAnsi="Arial" w:hint="default"/>
        <w:color w:val="auto"/>
      </w:rPr>
    </w:lvl>
  </w:abstractNum>
  <w:abstractNum w:abstractNumId="3" w15:restartNumberingAfterBreak="0">
    <w:nsid w:val="1F937F25"/>
    <w:multiLevelType w:val="singleLevel"/>
    <w:tmpl w:val="E3F237A6"/>
    <w:lvl w:ilvl="0">
      <w:start w:val="1"/>
      <w:numFmt w:val="bullet"/>
      <w:pStyle w:val="Heading6"/>
      <w:lvlText w:val=""/>
      <w:lvlJc w:val="left"/>
      <w:pPr>
        <w:tabs>
          <w:tab w:val="num" w:pos="360"/>
        </w:tabs>
        <w:ind w:left="360" w:hanging="360"/>
      </w:pPr>
      <w:rPr>
        <w:rFonts w:ascii="Symbol" w:hAnsi="Symbol" w:hint="default"/>
      </w:rPr>
    </w:lvl>
  </w:abstractNum>
  <w:abstractNum w:abstractNumId="4" w15:restartNumberingAfterBreak="0">
    <w:nsid w:val="37EC0E81"/>
    <w:multiLevelType w:val="hybridMultilevel"/>
    <w:tmpl w:val="12C2FE14"/>
    <w:lvl w:ilvl="0" w:tplc="D23E26D2">
      <w:start w:val="1"/>
      <w:numFmt w:val="decimal"/>
      <w:lvlText w:val="%1."/>
      <w:lvlJc w:val="left"/>
      <w:pPr>
        <w:ind w:left="720" w:hanging="360"/>
      </w:pPr>
      <w:rPr>
        <w:rFonts w:ascii="Arial" w:hAnsi="Aria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11B2D"/>
    <w:multiLevelType w:val="hybridMultilevel"/>
    <w:tmpl w:val="74E27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0A46F3"/>
    <w:multiLevelType w:val="singleLevel"/>
    <w:tmpl w:val="E640CAAA"/>
    <w:lvl w:ilvl="0">
      <w:start w:val="1"/>
      <w:numFmt w:val="bullet"/>
      <w:pStyle w:val="Heading4"/>
      <w:lvlText w:val=""/>
      <w:lvlJc w:val="left"/>
      <w:pPr>
        <w:tabs>
          <w:tab w:val="num" w:pos="1080"/>
        </w:tabs>
        <w:ind w:left="1080" w:hanging="360"/>
      </w:pPr>
      <w:rPr>
        <w:rFonts w:ascii="Wingdings" w:hAnsi="Wingdings" w:hint="default"/>
      </w:rPr>
    </w:lvl>
  </w:abstractNum>
  <w:abstractNum w:abstractNumId="7" w15:restartNumberingAfterBreak="0">
    <w:nsid w:val="5B4642F1"/>
    <w:multiLevelType w:val="hybridMultilevel"/>
    <w:tmpl w:val="0BF02FE6"/>
    <w:lvl w:ilvl="0" w:tplc="427AB832">
      <w:start w:val="1"/>
      <w:numFmt w:val="bullet"/>
      <w:pStyle w:val="Heading3"/>
      <w:lvlText w:val=""/>
      <w:lvlJc w:val="left"/>
      <w:pPr>
        <w:tabs>
          <w:tab w:val="num" w:pos="720"/>
        </w:tabs>
        <w:ind w:left="72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5664E1"/>
    <w:multiLevelType w:val="singleLevel"/>
    <w:tmpl w:val="227E8566"/>
    <w:lvl w:ilvl="0">
      <w:start w:val="1"/>
      <w:numFmt w:val="bullet"/>
      <w:pStyle w:val="Heading7"/>
      <w:lvlText w:val=""/>
      <w:lvlJc w:val="left"/>
      <w:pPr>
        <w:tabs>
          <w:tab w:val="num" w:pos="360"/>
        </w:tabs>
        <w:ind w:left="360" w:hanging="360"/>
      </w:pPr>
      <w:rPr>
        <w:rFonts w:ascii="Symbol" w:hAnsi="Symbol" w:hint="default"/>
      </w:rPr>
    </w:lvl>
  </w:abstractNum>
  <w:abstractNum w:abstractNumId="9" w15:restartNumberingAfterBreak="0">
    <w:nsid w:val="71406BC4"/>
    <w:multiLevelType w:val="singleLevel"/>
    <w:tmpl w:val="5BBEE94E"/>
    <w:lvl w:ilvl="0">
      <w:start w:val="1"/>
      <w:numFmt w:val="bullet"/>
      <w:pStyle w:val="Heading5"/>
      <w:lvlText w:val=""/>
      <w:lvlJc w:val="left"/>
      <w:pPr>
        <w:tabs>
          <w:tab w:val="num" w:pos="360"/>
        </w:tabs>
        <w:ind w:left="360" w:hanging="360"/>
      </w:pPr>
      <w:rPr>
        <w:rFonts w:ascii="Wingdings" w:hAnsi="Wingdings" w:hint="default"/>
      </w:rPr>
    </w:lvl>
  </w:abstractNum>
  <w:abstractNum w:abstractNumId="10" w15:restartNumberingAfterBreak="0">
    <w:nsid w:val="78B34904"/>
    <w:multiLevelType w:val="singleLevel"/>
    <w:tmpl w:val="C7827590"/>
    <w:lvl w:ilvl="0">
      <w:start w:val="1"/>
      <w:numFmt w:val="bullet"/>
      <w:pStyle w:val="Style1"/>
      <w:lvlText w:val=""/>
      <w:lvlJc w:val="left"/>
      <w:pPr>
        <w:tabs>
          <w:tab w:val="num" w:pos="360"/>
        </w:tabs>
        <w:ind w:left="360" w:hanging="360"/>
      </w:pPr>
      <w:rPr>
        <w:rFonts w:ascii="Wingdings" w:hAnsi="Wingdings" w:hint="default"/>
      </w:rPr>
    </w:lvl>
  </w:abstractNum>
  <w:abstractNum w:abstractNumId="11" w15:restartNumberingAfterBreak="0">
    <w:nsid w:val="7A4E533E"/>
    <w:multiLevelType w:val="hybridMultilevel"/>
    <w:tmpl w:val="E82A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D12F13"/>
    <w:multiLevelType w:val="hybridMultilevel"/>
    <w:tmpl w:val="DBDAF29E"/>
    <w:lvl w:ilvl="0" w:tplc="C4103676">
      <w:start w:val="21"/>
      <w:numFmt w:val="bullet"/>
      <w:lvlText w:val=""/>
      <w:lvlJc w:val="left"/>
      <w:pPr>
        <w:ind w:left="1440" w:hanging="360"/>
      </w:pPr>
      <w:rPr>
        <w:rFonts w:ascii="Symbol" w:eastAsia="Calibri" w:hAnsi="Symbol" w:cs="Aria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F7A3A8B"/>
    <w:multiLevelType w:val="hybridMultilevel"/>
    <w:tmpl w:val="26782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9"/>
  </w:num>
  <w:num w:numId="4">
    <w:abstractNumId w:val="3"/>
  </w:num>
  <w:num w:numId="5">
    <w:abstractNumId w:val="8"/>
  </w:num>
  <w:num w:numId="6">
    <w:abstractNumId w:val="1"/>
  </w:num>
  <w:num w:numId="7">
    <w:abstractNumId w:val="2"/>
  </w:num>
  <w:num w:numId="8">
    <w:abstractNumId w:val="0"/>
  </w:num>
  <w:num w:numId="9">
    <w:abstractNumId w:val="10"/>
  </w:num>
  <w:num w:numId="10">
    <w:abstractNumId w:val="4"/>
  </w:num>
  <w:num w:numId="11">
    <w:abstractNumId w:val="2"/>
  </w:num>
  <w:num w:numId="12">
    <w:abstractNumId w:val="11"/>
  </w:num>
  <w:num w:numId="13">
    <w:abstractNumId w:val="5"/>
  </w:num>
  <w:num w:numId="14">
    <w:abstractNumId w:val="7"/>
  </w:num>
  <w:num w:numId="15">
    <w:abstractNumId w:val="7"/>
  </w:num>
  <w:num w:numId="16">
    <w:abstractNumId w:val="7"/>
  </w:num>
  <w:num w:numId="17">
    <w:abstractNumId w:val="7"/>
  </w:num>
  <w:num w:numId="18">
    <w:abstractNumId w:val="7"/>
  </w:num>
  <w:num w:numId="19">
    <w:abstractNumId w:val="7"/>
  </w:num>
  <w:num w:numId="20">
    <w:abstractNumId w:val="13"/>
  </w:num>
  <w:num w:numId="21">
    <w:abstractNumId w:val="7"/>
  </w:num>
  <w:num w:numId="22">
    <w:abstractNumId w:val="7"/>
  </w:num>
  <w:num w:numId="23">
    <w:abstractNumId w:val="7"/>
  </w:num>
  <w:num w:numId="24">
    <w:abstractNumId w:val="7"/>
  </w:num>
  <w:num w:numId="2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3B"/>
    <w:rsid w:val="00000758"/>
    <w:rsid w:val="0001395E"/>
    <w:rsid w:val="00036E00"/>
    <w:rsid w:val="00047EDF"/>
    <w:rsid w:val="00050256"/>
    <w:rsid w:val="00060D94"/>
    <w:rsid w:val="0007126B"/>
    <w:rsid w:val="00072F0A"/>
    <w:rsid w:val="00075DD3"/>
    <w:rsid w:val="00086B8A"/>
    <w:rsid w:val="00096C58"/>
    <w:rsid w:val="000C1A20"/>
    <w:rsid w:val="000F438A"/>
    <w:rsid w:val="00115632"/>
    <w:rsid w:val="001505D0"/>
    <w:rsid w:val="00173163"/>
    <w:rsid w:val="001758E9"/>
    <w:rsid w:val="0019432E"/>
    <w:rsid w:val="00197E61"/>
    <w:rsid w:val="001C0330"/>
    <w:rsid w:val="001D3898"/>
    <w:rsid w:val="001E38B1"/>
    <w:rsid w:val="001F02C1"/>
    <w:rsid w:val="001F5543"/>
    <w:rsid w:val="00231E5A"/>
    <w:rsid w:val="002513B9"/>
    <w:rsid w:val="002634ED"/>
    <w:rsid w:val="002724D9"/>
    <w:rsid w:val="002C0199"/>
    <w:rsid w:val="002D5044"/>
    <w:rsid w:val="00317596"/>
    <w:rsid w:val="003357E5"/>
    <w:rsid w:val="00340810"/>
    <w:rsid w:val="003B0DD5"/>
    <w:rsid w:val="003B3A67"/>
    <w:rsid w:val="003C2C80"/>
    <w:rsid w:val="003C7990"/>
    <w:rsid w:val="003F1C85"/>
    <w:rsid w:val="00415A0F"/>
    <w:rsid w:val="00440394"/>
    <w:rsid w:val="00467366"/>
    <w:rsid w:val="00473B41"/>
    <w:rsid w:val="00476BD6"/>
    <w:rsid w:val="004779F7"/>
    <w:rsid w:val="0048516F"/>
    <w:rsid w:val="004C036E"/>
    <w:rsid w:val="004C5AC0"/>
    <w:rsid w:val="005254CC"/>
    <w:rsid w:val="00555612"/>
    <w:rsid w:val="005761C6"/>
    <w:rsid w:val="0058504B"/>
    <w:rsid w:val="00586E52"/>
    <w:rsid w:val="005A2A85"/>
    <w:rsid w:val="005A5305"/>
    <w:rsid w:val="005E7E9C"/>
    <w:rsid w:val="006212D9"/>
    <w:rsid w:val="006371BF"/>
    <w:rsid w:val="00643FF7"/>
    <w:rsid w:val="00673420"/>
    <w:rsid w:val="00684F7F"/>
    <w:rsid w:val="00691EB8"/>
    <w:rsid w:val="006F17FA"/>
    <w:rsid w:val="00700587"/>
    <w:rsid w:val="007275AB"/>
    <w:rsid w:val="00727C5E"/>
    <w:rsid w:val="00747DC9"/>
    <w:rsid w:val="007561C2"/>
    <w:rsid w:val="00773D8E"/>
    <w:rsid w:val="007741B1"/>
    <w:rsid w:val="00780A0E"/>
    <w:rsid w:val="00795B6F"/>
    <w:rsid w:val="007B07F6"/>
    <w:rsid w:val="007D0F72"/>
    <w:rsid w:val="007F0A97"/>
    <w:rsid w:val="0080051E"/>
    <w:rsid w:val="00811525"/>
    <w:rsid w:val="00820006"/>
    <w:rsid w:val="00832C2E"/>
    <w:rsid w:val="008816D5"/>
    <w:rsid w:val="00885192"/>
    <w:rsid w:val="008E7B4E"/>
    <w:rsid w:val="009025D8"/>
    <w:rsid w:val="00934DED"/>
    <w:rsid w:val="0093731E"/>
    <w:rsid w:val="009474B0"/>
    <w:rsid w:val="00995580"/>
    <w:rsid w:val="009B5113"/>
    <w:rsid w:val="00A13F94"/>
    <w:rsid w:val="00A263BE"/>
    <w:rsid w:val="00A34401"/>
    <w:rsid w:val="00A668E6"/>
    <w:rsid w:val="00A910F3"/>
    <w:rsid w:val="00AD6268"/>
    <w:rsid w:val="00AD7394"/>
    <w:rsid w:val="00AF6796"/>
    <w:rsid w:val="00B069B6"/>
    <w:rsid w:val="00B51189"/>
    <w:rsid w:val="00B80EF4"/>
    <w:rsid w:val="00BA3AB6"/>
    <w:rsid w:val="00BA4DAA"/>
    <w:rsid w:val="00BC0C46"/>
    <w:rsid w:val="00BD7076"/>
    <w:rsid w:val="00BD761B"/>
    <w:rsid w:val="00C129D6"/>
    <w:rsid w:val="00C1587E"/>
    <w:rsid w:val="00C1634C"/>
    <w:rsid w:val="00C528BA"/>
    <w:rsid w:val="00C60D85"/>
    <w:rsid w:val="00C65EF7"/>
    <w:rsid w:val="00C93EE4"/>
    <w:rsid w:val="00D12B13"/>
    <w:rsid w:val="00D250CA"/>
    <w:rsid w:val="00D34FC3"/>
    <w:rsid w:val="00D35AF2"/>
    <w:rsid w:val="00D36E69"/>
    <w:rsid w:val="00D4032F"/>
    <w:rsid w:val="00D42FA5"/>
    <w:rsid w:val="00D43F40"/>
    <w:rsid w:val="00D5082C"/>
    <w:rsid w:val="00D52D52"/>
    <w:rsid w:val="00D74734"/>
    <w:rsid w:val="00D76855"/>
    <w:rsid w:val="00DC0318"/>
    <w:rsid w:val="00DC3EA3"/>
    <w:rsid w:val="00DE1519"/>
    <w:rsid w:val="00DF7FD8"/>
    <w:rsid w:val="00E07B02"/>
    <w:rsid w:val="00E83C50"/>
    <w:rsid w:val="00E8513B"/>
    <w:rsid w:val="00EC73AE"/>
    <w:rsid w:val="00ED6CA2"/>
    <w:rsid w:val="00ED7703"/>
    <w:rsid w:val="00EF0B7F"/>
    <w:rsid w:val="00EF6426"/>
    <w:rsid w:val="00EF7AD4"/>
    <w:rsid w:val="00F24496"/>
    <w:rsid w:val="00F50C31"/>
    <w:rsid w:val="00F74D95"/>
    <w:rsid w:val="00F9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8248C5"/>
  <w15:docId w15:val="{41C54C67-EEDD-424B-B36A-C14DEBEFD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4"/>
    </w:rPr>
  </w:style>
  <w:style w:type="paragraph" w:styleId="Heading1">
    <w:name w:val="heading 1"/>
    <w:aliases w:val="mandatory,Heading 1-mandatory"/>
    <w:basedOn w:val="Normal"/>
    <w:next w:val="Heading2"/>
    <w:qFormat/>
    <w:pPr>
      <w:spacing w:before="80" w:after="80"/>
      <w:outlineLvl w:val="0"/>
    </w:pPr>
    <w:rPr>
      <w:b/>
      <w:caps/>
    </w:rPr>
  </w:style>
  <w:style w:type="paragraph" w:styleId="Heading2">
    <w:name w:val="heading 2"/>
    <w:basedOn w:val="Normal"/>
    <w:qFormat/>
    <w:pPr>
      <w:spacing w:before="60" w:after="60"/>
      <w:outlineLvl w:val="1"/>
    </w:pPr>
  </w:style>
  <w:style w:type="paragraph" w:styleId="Heading3">
    <w:name w:val="heading 3"/>
    <w:basedOn w:val="Normal"/>
    <w:qFormat/>
    <w:pPr>
      <w:numPr>
        <w:numId w:val="1"/>
      </w:numPr>
      <w:spacing w:before="20" w:after="20"/>
      <w:outlineLvl w:val="2"/>
    </w:pPr>
  </w:style>
  <w:style w:type="paragraph" w:styleId="Heading4">
    <w:name w:val="heading 4"/>
    <w:basedOn w:val="Normal"/>
    <w:qFormat/>
    <w:pPr>
      <w:numPr>
        <w:numId w:val="2"/>
      </w:numPr>
      <w:spacing w:before="20" w:after="20"/>
      <w:outlineLvl w:val="3"/>
    </w:pPr>
    <w:rPr>
      <w:sz w:val="22"/>
    </w:rPr>
  </w:style>
  <w:style w:type="paragraph" w:styleId="Heading5">
    <w:name w:val="heading 5"/>
    <w:basedOn w:val="Normal"/>
    <w:qFormat/>
    <w:pPr>
      <w:numPr>
        <w:numId w:val="3"/>
      </w:numPr>
      <w:tabs>
        <w:tab w:val="clear" w:pos="360"/>
        <w:tab w:val="num" w:pos="0"/>
      </w:tabs>
      <w:spacing w:after="40"/>
      <w:ind w:left="1440"/>
      <w:outlineLvl w:val="4"/>
    </w:pPr>
    <w:rPr>
      <w:sz w:val="22"/>
    </w:rPr>
  </w:style>
  <w:style w:type="paragraph" w:styleId="Heading6">
    <w:name w:val="heading 6"/>
    <w:basedOn w:val="Normal"/>
    <w:qFormat/>
    <w:pPr>
      <w:numPr>
        <w:numId w:val="4"/>
      </w:numPr>
      <w:tabs>
        <w:tab w:val="clear" w:pos="360"/>
        <w:tab w:val="num" w:pos="0"/>
      </w:tabs>
      <w:spacing w:after="20"/>
      <w:ind w:left="1800"/>
      <w:outlineLvl w:val="5"/>
    </w:pPr>
    <w:rPr>
      <w:sz w:val="22"/>
    </w:rPr>
  </w:style>
  <w:style w:type="paragraph" w:styleId="Heading7">
    <w:name w:val="heading 7"/>
    <w:basedOn w:val="Normal"/>
    <w:next w:val="Normal"/>
    <w:qFormat/>
    <w:pPr>
      <w:numPr>
        <w:numId w:val="5"/>
      </w:numPr>
      <w:ind w:left="2520"/>
      <w:outlineLvl w:val="6"/>
    </w:pPr>
    <w:rPr>
      <w:sz w:val="20"/>
    </w:rPr>
  </w:style>
  <w:style w:type="paragraph" w:styleId="Heading8">
    <w:name w:val="heading 8"/>
    <w:basedOn w:val="Normal"/>
    <w:next w:val="Normal"/>
    <w:qFormat/>
    <w:pPr>
      <w:numPr>
        <w:numId w:val="6"/>
      </w:numPr>
      <w:ind w:left="2880"/>
      <w:outlineLvl w:val="7"/>
    </w:pPr>
    <w:rPr>
      <w:sz w:val="20"/>
    </w:rPr>
  </w:style>
  <w:style w:type="paragraph" w:styleId="Heading9">
    <w:name w:val="heading 9"/>
    <w:aliases w:val="definitions-summary chgs"/>
    <w:basedOn w:val="Normal"/>
    <w:qFormat/>
    <w:pPr>
      <w:numPr>
        <w:numId w:val="7"/>
      </w:numPr>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9360"/>
      </w:tabs>
    </w:pPr>
    <w:rPr>
      <w:b/>
      <w:i/>
      <w:caps/>
    </w:rPr>
  </w:style>
  <w:style w:type="paragraph" w:styleId="Footer">
    <w:name w:val="footer"/>
    <w:basedOn w:val="Normal"/>
    <w:pPr>
      <w:tabs>
        <w:tab w:val="center" w:pos="4320"/>
        <w:tab w:val="right" w:pos="8640"/>
      </w:tabs>
      <w:spacing w:before="80"/>
      <w:jc w:val="center"/>
    </w:pPr>
    <w:rPr>
      <w:sz w:val="16"/>
    </w:rPr>
  </w:style>
  <w:style w:type="character" w:styleId="PageNumber">
    <w:name w:val="page number"/>
    <w:basedOn w:val="DefaultParagraphFont"/>
  </w:style>
  <w:style w:type="paragraph" w:styleId="BodyTextIndent">
    <w:name w:val="Body Text Indent"/>
    <w:basedOn w:val="Normal"/>
    <w:pPr>
      <w:widowControl w:val="0"/>
      <w:ind w:left="324" w:hanging="284"/>
      <w:jc w:val="both"/>
    </w:pPr>
    <w:rPr>
      <w:sz w:val="22"/>
    </w:rPr>
  </w:style>
  <w:style w:type="paragraph" w:customStyle="1" w:styleId="Bullet2">
    <w:name w:val="Bullet 2"/>
    <w:basedOn w:val="Normal"/>
    <w:pPr>
      <w:tabs>
        <w:tab w:val="num" w:pos="936"/>
        <w:tab w:val="left" w:pos="1620"/>
      </w:tabs>
      <w:spacing w:before="40"/>
      <w:ind w:left="1627"/>
    </w:pPr>
    <w:rPr>
      <w:sz w:val="22"/>
    </w:rPr>
  </w:style>
  <w:style w:type="paragraph" w:styleId="BodyText">
    <w:name w:val="Body Text"/>
    <w:basedOn w:val="Normal"/>
    <w:pPr>
      <w:widowControl w:val="0"/>
      <w:tabs>
        <w:tab w:val="left" w:pos="-720"/>
      </w:tabs>
      <w:suppressAutoHyphens/>
      <w:spacing w:line="360" w:lineRule="auto"/>
    </w:pPr>
    <w:rPr>
      <w:spacing w:val="-3"/>
    </w:rPr>
  </w:style>
  <w:style w:type="paragraph" w:customStyle="1" w:styleId="Bullet3">
    <w:name w:val="Bullet 3"/>
    <w:basedOn w:val="Normal"/>
    <w:pPr>
      <w:tabs>
        <w:tab w:val="num" w:pos="936"/>
        <w:tab w:val="num" w:pos="2340"/>
      </w:tabs>
      <w:spacing w:before="40"/>
      <w:ind w:left="2347"/>
    </w:pPr>
    <w:rPr>
      <w:sz w:val="22"/>
    </w:rPr>
  </w:style>
  <w:style w:type="paragraph" w:styleId="BodyText2">
    <w:name w:val="Body Text 2"/>
    <w:basedOn w:val="Normal"/>
    <w:pPr>
      <w:ind w:right="-26"/>
      <w:jc w:val="both"/>
    </w:pPr>
    <w:rPr>
      <w:sz w:val="16"/>
    </w:rPr>
  </w:style>
  <w:style w:type="paragraph" w:styleId="BodyTextIndent2">
    <w:name w:val="Body Text Indent 2"/>
    <w:basedOn w:val="Normal"/>
    <w:pPr>
      <w:ind w:left="360"/>
    </w:pPr>
    <w:rPr>
      <w:snapToGrid w:val="0"/>
    </w:rPr>
  </w:style>
  <w:style w:type="paragraph" w:styleId="BodyTextIndent3">
    <w:name w:val="Body Text Indent 3"/>
    <w:basedOn w:val="Normal"/>
    <w:pPr>
      <w:ind w:left="1440"/>
    </w:pPr>
    <w:rPr>
      <w:snapToGrid w:val="0"/>
    </w:rPr>
  </w:style>
  <w:style w:type="paragraph" w:styleId="BodyText3">
    <w:name w:val="Body Text 3"/>
    <w:basedOn w:val="Normal"/>
    <w:rPr>
      <w:i/>
    </w:rPr>
  </w:style>
  <w:style w:type="paragraph" w:styleId="ListNumber">
    <w:name w:val="List Number"/>
    <w:basedOn w:val="Normal"/>
    <w:pPr>
      <w:numPr>
        <w:numId w:val="8"/>
      </w:numPr>
    </w:pPr>
  </w:style>
  <w:style w:type="paragraph" w:customStyle="1" w:styleId="Style1">
    <w:name w:val="Style1"/>
    <w:basedOn w:val="Heading5"/>
    <w:autoRedefine/>
    <w:pPr>
      <w:numPr>
        <w:numId w:val="9"/>
      </w:numPr>
      <w:ind w:left="1080"/>
    </w:pPr>
  </w:style>
  <w:style w:type="paragraph" w:customStyle="1" w:styleId="TitlePage5">
    <w:name w:val="Title Page 5"/>
    <w:basedOn w:val="Heading9"/>
    <w:pPr>
      <w:keepNext/>
      <w:widowControl w:val="0"/>
      <w:numPr>
        <w:numId w:val="0"/>
      </w:numPr>
      <w:tabs>
        <w:tab w:val="left" w:pos="727"/>
        <w:tab w:val="num" w:pos="936"/>
      </w:tabs>
      <w:spacing w:before="120" w:after="120"/>
    </w:pPr>
    <w:rPr>
      <w:b/>
      <w:snapToGrid w:val="0"/>
      <w:sz w:val="32"/>
    </w:rPr>
  </w:style>
  <w:style w:type="paragraph" w:customStyle="1" w:styleId="BoldText">
    <w:name w:val="Bold Text"/>
    <w:basedOn w:val="Normal"/>
    <w:pPr>
      <w:spacing w:before="120" w:after="120"/>
    </w:pPr>
    <w:rPr>
      <w:b/>
      <w:caps/>
    </w:rPr>
  </w:style>
  <w:style w:type="paragraph" w:styleId="Caption">
    <w:name w:val="caption"/>
    <w:basedOn w:val="Normal"/>
    <w:next w:val="Normal"/>
    <w:qFormat/>
    <w:pPr>
      <w:pBdr>
        <w:bottom w:val="single" w:sz="4" w:space="1" w:color="3366FF"/>
      </w:pBdr>
      <w:tabs>
        <w:tab w:val="left" w:pos="1188"/>
        <w:tab w:val="left" w:pos="7308"/>
        <w:tab w:val="left" w:pos="9288"/>
        <w:tab w:val="left" w:pos="10908"/>
      </w:tabs>
      <w:spacing w:before="40" w:after="40"/>
      <w:ind w:left="108"/>
      <w:jc w:val="center"/>
    </w:pPr>
    <w:rPr>
      <w:b/>
      <w:bCs/>
      <w:i/>
      <w:iCs/>
      <w:snapToGrid w:val="0"/>
      <w:color w:val="000000"/>
      <w:sz w:val="18"/>
    </w:rPr>
  </w:style>
  <w:style w:type="paragraph" w:customStyle="1" w:styleId="DocumentLabel">
    <w:name w:val="Document Label"/>
    <w:next w:val="Normal"/>
    <w:pPr>
      <w:spacing w:after="240"/>
      <w:jc w:val="right"/>
    </w:pPr>
    <w:rPr>
      <w:rFonts w:ascii="Univers (W1)" w:hAnsi="Univers (W1)"/>
      <w:noProof/>
    </w:rPr>
  </w:style>
  <w:style w:type="paragraph" w:customStyle="1" w:styleId="HeadingforMapBox">
    <w:name w:val="Heading for Map Box"/>
    <w:basedOn w:val="Normal"/>
    <w:next w:val="Heading3"/>
    <w:pPr>
      <w:spacing w:before="60" w:after="40"/>
    </w:pPr>
    <w:rPr>
      <w:b/>
      <w:caps/>
    </w:rPr>
  </w:style>
  <w:style w:type="paragraph" w:customStyle="1" w:styleId="Heading-assocdocs-records">
    <w:name w:val="Heading-assoc docs-records"/>
    <w:basedOn w:val="Heading2"/>
    <w:rPr>
      <w:b/>
      <w:bCs/>
      <w:i/>
      <w:iCs/>
    </w:rPr>
  </w:style>
  <w:style w:type="paragraph" w:customStyle="1" w:styleId="Sub-SubHeading">
    <w:name w:val="Sub-Sub Heading"/>
    <w:basedOn w:val="Normal"/>
    <w:pPr>
      <w:spacing w:before="120" w:after="80"/>
      <w:ind w:left="720"/>
    </w:pPr>
    <w:rPr>
      <w:b/>
    </w:rPr>
  </w:style>
  <w:style w:type="paragraph" w:customStyle="1" w:styleId="Sub2">
    <w:name w:val="Sub2"/>
    <w:basedOn w:val="Sub-SubHeading"/>
    <w:pPr>
      <w:ind w:left="1080"/>
    </w:pPr>
  </w:style>
  <w:style w:type="paragraph" w:customStyle="1" w:styleId="Sub-Heading">
    <w:name w:val="Sub-Heading"/>
    <w:basedOn w:val="Normal"/>
    <w:pPr>
      <w:spacing w:before="120" w:after="80"/>
    </w:pPr>
    <w:rPr>
      <w:b/>
    </w:rPr>
  </w:style>
  <w:style w:type="paragraph" w:customStyle="1" w:styleId="Heading2-ChecklistSection">
    <w:name w:val="Heading2-Checklist Section"/>
    <w:basedOn w:val="Heading2"/>
  </w:style>
  <w:style w:type="paragraph" w:customStyle="1" w:styleId="Sub1">
    <w:name w:val="Sub1"/>
    <w:basedOn w:val="Sub-Heading"/>
    <w:pPr>
      <w:spacing w:before="0"/>
    </w:pPr>
  </w:style>
  <w:style w:type="paragraph" w:styleId="BalloonText">
    <w:name w:val="Balloon Text"/>
    <w:basedOn w:val="Normal"/>
    <w:link w:val="BalloonTextChar"/>
    <w:rsid w:val="00EF0B7F"/>
    <w:rPr>
      <w:rFonts w:ascii="Tahoma" w:hAnsi="Tahoma" w:cs="Tahoma"/>
      <w:sz w:val="16"/>
      <w:szCs w:val="16"/>
    </w:rPr>
  </w:style>
  <w:style w:type="character" w:customStyle="1" w:styleId="BalloonTextChar">
    <w:name w:val="Balloon Text Char"/>
    <w:link w:val="BalloonText"/>
    <w:rsid w:val="00EF0B7F"/>
    <w:rPr>
      <w:rFonts w:ascii="Tahoma" w:hAnsi="Tahoma" w:cs="Tahoma"/>
      <w:sz w:val="16"/>
      <w:szCs w:val="16"/>
    </w:rPr>
  </w:style>
  <w:style w:type="paragraph" w:customStyle="1" w:styleId="Default">
    <w:name w:val="Default"/>
    <w:rsid w:val="00820006"/>
    <w:pPr>
      <w:autoSpaceDE w:val="0"/>
      <w:autoSpaceDN w:val="0"/>
      <w:adjustRightInd w:val="0"/>
    </w:pPr>
    <w:rPr>
      <w:rFonts w:ascii="Bookman Old Style" w:hAnsi="Bookman Old Style" w:cs="Bookman Old Style"/>
      <w:color w:val="000000"/>
      <w:sz w:val="24"/>
      <w:szCs w:val="24"/>
    </w:rPr>
  </w:style>
  <w:style w:type="paragraph" w:styleId="ListParagraph">
    <w:name w:val="List Paragraph"/>
    <w:basedOn w:val="Normal"/>
    <w:uiPriority w:val="34"/>
    <w:qFormat/>
    <w:rsid w:val="00820006"/>
    <w:pPr>
      <w:ind w:left="720"/>
    </w:pPr>
  </w:style>
  <w:style w:type="paragraph" w:styleId="NormalWeb">
    <w:name w:val="Normal (Web)"/>
    <w:basedOn w:val="Normal"/>
    <w:rsid w:val="00D5082C"/>
    <w:pPr>
      <w:spacing w:before="100" w:beforeAutospacing="1" w:after="100" w:afterAutospacing="1"/>
    </w:pPr>
    <w:rPr>
      <w:rFonts w:ascii="Times New Roman" w:hAnsi="Times New Roman"/>
      <w:szCs w:val="24"/>
    </w:rPr>
  </w:style>
  <w:style w:type="paragraph" w:customStyle="1" w:styleId="Heading2-Body-of-Doc">
    <w:name w:val="Heading2-Body-of-Doc"/>
    <w:basedOn w:val="Heading2"/>
    <w:autoRedefine/>
    <w:qFormat/>
    <w:rsid w:val="00832C2E"/>
    <w:pPr>
      <w:spacing w:before="120"/>
      <w:jc w:val="both"/>
    </w:pPr>
    <w:rPr>
      <w:sz w:val="22"/>
    </w:rPr>
  </w:style>
  <w:style w:type="paragraph" w:customStyle="1" w:styleId="BasicParagraph">
    <w:name w:val="[Basic Paragraph]"/>
    <w:basedOn w:val="Normal"/>
    <w:uiPriority w:val="99"/>
    <w:rsid w:val="00A668E6"/>
    <w:pPr>
      <w:autoSpaceDE w:val="0"/>
      <w:autoSpaceDN w:val="0"/>
      <w:adjustRightInd w:val="0"/>
      <w:spacing w:line="288" w:lineRule="auto"/>
      <w:textAlignment w:val="center"/>
    </w:pPr>
    <w:rPr>
      <w:rFonts w:ascii="Times (TT) Regular" w:hAnsi="Times (TT) Regular" w:cs="Times (TT) Regular"/>
      <w:color w:val="000000"/>
      <w:szCs w:val="24"/>
    </w:rPr>
  </w:style>
  <w:style w:type="paragraph" w:styleId="FootnoteText">
    <w:name w:val="footnote text"/>
    <w:basedOn w:val="Normal"/>
    <w:link w:val="FootnoteTextChar"/>
    <w:rsid w:val="00C1587E"/>
    <w:rPr>
      <w:sz w:val="20"/>
    </w:rPr>
  </w:style>
  <w:style w:type="character" w:customStyle="1" w:styleId="FootnoteTextChar">
    <w:name w:val="Footnote Text Char"/>
    <w:basedOn w:val="DefaultParagraphFont"/>
    <w:link w:val="FootnoteText"/>
    <w:rsid w:val="00C1587E"/>
    <w:rPr>
      <w:rFonts w:ascii="Arial" w:hAnsi="Arial"/>
    </w:rPr>
  </w:style>
  <w:style w:type="character" w:styleId="FootnoteReference">
    <w:name w:val="footnote reference"/>
    <w:basedOn w:val="DefaultParagraphFont"/>
    <w:rsid w:val="00C1587E"/>
    <w:rPr>
      <w:vertAlign w:val="superscript"/>
    </w:rPr>
  </w:style>
  <w:style w:type="character" w:styleId="CommentReference">
    <w:name w:val="annotation reference"/>
    <w:basedOn w:val="DefaultParagraphFont"/>
    <w:semiHidden/>
    <w:unhideWhenUsed/>
    <w:rsid w:val="003C2C80"/>
    <w:rPr>
      <w:sz w:val="16"/>
      <w:szCs w:val="16"/>
    </w:rPr>
  </w:style>
  <w:style w:type="paragraph" w:styleId="CommentText">
    <w:name w:val="annotation text"/>
    <w:basedOn w:val="Normal"/>
    <w:link w:val="CommentTextChar"/>
    <w:semiHidden/>
    <w:unhideWhenUsed/>
    <w:rsid w:val="003C2C80"/>
    <w:rPr>
      <w:sz w:val="20"/>
    </w:rPr>
  </w:style>
  <w:style w:type="character" w:customStyle="1" w:styleId="CommentTextChar">
    <w:name w:val="Comment Text Char"/>
    <w:basedOn w:val="DefaultParagraphFont"/>
    <w:link w:val="CommentText"/>
    <w:semiHidden/>
    <w:rsid w:val="003C2C80"/>
    <w:rPr>
      <w:rFonts w:ascii="Arial" w:hAnsi="Arial"/>
    </w:rPr>
  </w:style>
  <w:style w:type="paragraph" w:styleId="CommentSubject">
    <w:name w:val="annotation subject"/>
    <w:basedOn w:val="CommentText"/>
    <w:next w:val="CommentText"/>
    <w:link w:val="CommentSubjectChar"/>
    <w:semiHidden/>
    <w:unhideWhenUsed/>
    <w:rsid w:val="003C2C80"/>
    <w:rPr>
      <w:b/>
      <w:bCs/>
    </w:rPr>
  </w:style>
  <w:style w:type="character" w:customStyle="1" w:styleId="CommentSubjectChar">
    <w:name w:val="Comment Subject Char"/>
    <w:basedOn w:val="CommentTextChar"/>
    <w:link w:val="CommentSubject"/>
    <w:semiHidden/>
    <w:rsid w:val="003C2C8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82265">
      <w:bodyDiv w:val="1"/>
      <w:marLeft w:val="0"/>
      <w:marRight w:val="0"/>
      <w:marTop w:val="0"/>
      <w:marBottom w:val="0"/>
      <w:divBdr>
        <w:top w:val="none" w:sz="0" w:space="0" w:color="auto"/>
        <w:left w:val="none" w:sz="0" w:space="0" w:color="auto"/>
        <w:bottom w:val="none" w:sz="0" w:space="0" w:color="auto"/>
        <w:right w:val="none" w:sz="0" w:space="0" w:color="auto"/>
      </w:divBdr>
    </w:div>
    <w:div w:id="1453940341">
      <w:bodyDiv w:val="1"/>
      <w:marLeft w:val="0"/>
      <w:marRight w:val="0"/>
      <w:marTop w:val="0"/>
      <w:marBottom w:val="0"/>
      <w:divBdr>
        <w:top w:val="none" w:sz="0" w:space="0" w:color="auto"/>
        <w:left w:val="none" w:sz="0" w:space="0" w:color="auto"/>
        <w:bottom w:val="none" w:sz="0" w:space="0" w:color="auto"/>
        <w:right w:val="none" w:sz="0" w:space="0" w:color="auto"/>
      </w:divBdr>
    </w:div>
    <w:div w:id="1601256062">
      <w:bodyDiv w:val="1"/>
      <w:marLeft w:val="0"/>
      <w:marRight w:val="0"/>
      <w:marTop w:val="0"/>
      <w:marBottom w:val="0"/>
      <w:divBdr>
        <w:top w:val="none" w:sz="0" w:space="0" w:color="auto"/>
        <w:left w:val="none" w:sz="0" w:space="0" w:color="auto"/>
        <w:bottom w:val="none" w:sz="0" w:space="0" w:color="auto"/>
        <w:right w:val="none" w:sz="0" w:space="0" w:color="auto"/>
      </w:divBdr>
    </w:div>
    <w:div w:id="19956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apws.ethicspoin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795BC-95AF-4F81-A48E-3F14B5B0A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Business Procedure Format</vt:lpstr>
    </vt:vector>
  </TitlesOfParts>
  <Manager>Michael W. Lamach</Manager>
  <Company>ifmcna</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Procedure Format</dc:title>
  <dc:subject>Business Process</dc:subject>
  <dc:creator>Kimberly D. Hitchins  (Kim)</dc:creator>
  <cp:lastModifiedBy>Brian Seeley</cp:lastModifiedBy>
  <cp:revision>5</cp:revision>
  <cp:lastPrinted>2016-05-11T19:42:00Z</cp:lastPrinted>
  <dcterms:created xsi:type="dcterms:W3CDTF">2020-02-06T22:09:00Z</dcterms:created>
  <dcterms:modified xsi:type="dcterms:W3CDTF">2020-02-13T19:17:00Z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ies>
</file>